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bookmarkStart w:colFirst="0" w:colLast="0" w:name="_heading=h.gjdgxs"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wp:posOffset>
            </wp:positionH>
            <wp:positionV relativeFrom="paragraph">
              <wp:posOffset>0</wp:posOffset>
            </wp:positionV>
            <wp:extent cx="1187450" cy="850900"/>
            <wp:effectExtent b="0" l="0" r="0" t="0"/>
            <wp:wrapSquare wrapText="bothSides" distB="0" distT="0" distL="114300" distR="114300"/>
            <wp:docPr descr="CCS_2935_SML_AW" id="28" name="image1.png"/>
            <a:graphic>
              <a:graphicData uri="http://schemas.openxmlformats.org/drawingml/2006/picture">
                <pic:pic>
                  <pic:nvPicPr>
                    <pic:cNvPr descr="CCS_2935_SML_AW" id="0" name="image1.png"/>
                    <pic:cNvPicPr preferRelativeResize="0"/>
                  </pic:nvPicPr>
                  <pic:blipFill>
                    <a:blip r:embed="rId7"/>
                    <a:srcRect b="0" l="0" r="0" t="0"/>
                    <a:stretch>
                      <a:fillRect/>
                    </a:stretch>
                  </pic:blipFill>
                  <pic:spPr>
                    <a:xfrm>
                      <a:off x="0" y="0"/>
                      <a:ext cx="1187450" cy="850900"/>
                    </a:xfrm>
                    <a:prstGeom prst="rect"/>
                    <a:ln/>
                  </pic:spPr>
                </pic:pic>
              </a:graphicData>
            </a:graphic>
          </wp:anchor>
        </w:drawing>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ab/>
      </w:r>
    </w:p>
    <w:p w:rsidR="00000000" w:rsidDel="00000000" w:rsidP="00000000" w:rsidRDefault="00000000" w:rsidRPr="00000000" w14:paraId="00000006">
      <w:pPr>
        <w:jc w:val="center"/>
        <w:rPr>
          <w:color w:val="4f81bd"/>
          <w:sz w:val="56"/>
          <w:szCs w:val="56"/>
        </w:rPr>
      </w:pPr>
      <w:bookmarkStart w:colFirst="0" w:colLast="0" w:name="_heading=h.30j0zll" w:id="1"/>
      <w:bookmarkEnd w:id="1"/>
      <w:r w:rsidDel="00000000" w:rsidR="00000000" w:rsidRPr="00000000">
        <w:rPr>
          <w:color w:val="4f81bd"/>
          <w:sz w:val="56"/>
          <w:szCs w:val="56"/>
          <w:rtl w:val="0"/>
        </w:rPr>
        <w:t xml:space="preserve">Buyer Needs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jc w:val="center"/>
        <w:rPr>
          <w:sz w:val="40"/>
          <w:szCs w:val="40"/>
        </w:rPr>
      </w:pPr>
      <w:r w:rsidDel="00000000" w:rsidR="00000000" w:rsidRPr="00000000">
        <w:rPr>
          <w:sz w:val="40"/>
          <w:szCs w:val="40"/>
          <w:rtl w:val="0"/>
        </w:rPr>
        <w:t xml:space="preserve">RM6120 Leasing and Loans Finance DPS </w:t>
      </w:r>
    </w:p>
    <w:p w:rsidR="00000000" w:rsidDel="00000000" w:rsidP="00000000" w:rsidRDefault="00000000" w:rsidRPr="00000000" w14:paraId="00000009">
      <w:pPr>
        <w:jc w:val="center"/>
        <w:rPr>
          <w:sz w:val="40"/>
          <w:szCs w:val="40"/>
        </w:rPr>
      </w:pPr>
      <w:r w:rsidDel="00000000" w:rsidR="00000000" w:rsidRPr="00000000">
        <w:rPr>
          <w:sz w:val="40"/>
          <w:szCs w:val="40"/>
          <w:rtl w:val="0"/>
        </w:rPr>
        <w:t xml:space="preserve">Dynamic Purchasing System Agreement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drawing>
          <wp:inline distB="0" distT="0" distL="0" distR="0">
            <wp:extent cx="6026150" cy="3013075"/>
            <wp:effectExtent b="0" l="0" r="0" t="0"/>
            <wp:docPr id="29"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6026150" cy="3013075"/>
                    </a:xfrm>
                    <a:prstGeom prst="rect"/>
                    <a:ln/>
                  </pic:spPr>
                </pic:pic>
              </a:graphicData>
            </a:graphic>
          </wp:inline>
        </w:drawing>
      </w: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br w:type="page"/>
      </w:r>
      <w:r w:rsidDel="00000000" w:rsidR="00000000" w:rsidRPr="00000000">
        <w:rPr>
          <w:rtl w:val="0"/>
        </w:rPr>
      </w:r>
    </w:p>
    <w:p w:rsidR="00000000" w:rsidDel="00000000" w:rsidP="00000000" w:rsidRDefault="00000000" w:rsidRPr="00000000" w14:paraId="00000010">
      <w:pPr>
        <w:rPr>
          <w:b w:val="1"/>
        </w:rPr>
      </w:pPr>
      <w:r w:rsidDel="00000000" w:rsidR="00000000" w:rsidRPr="00000000">
        <w:rPr>
          <w:b w:val="1"/>
          <w:rtl w:val="0"/>
        </w:rPr>
        <w:t xml:space="preserve">Contents</w:t>
      </w:r>
    </w:p>
    <w:p w:rsidR="00000000" w:rsidDel="00000000" w:rsidP="00000000" w:rsidRDefault="00000000" w:rsidRPr="00000000" w14:paraId="00000011">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440"/>
              <w:tab w:val="right" w:pos="9350"/>
            </w:tabs>
            <w:spacing w:after="100" w:lineRule="auto"/>
            <w:rPr>
              <w:rFonts w:ascii="Cambria" w:cs="Cambria" w:eastAsia="Cambria" w:hAnsi="Cambria"/>
              <w:color w:val="000000"/>
              <w:sz w:val="22"/>
              <w:szCs w:val="22"/>
            </w:rPr>
          </w:pPr>
          <w:r w:rsidDel="00000000" w:rsidR="00000000" w:rsidRPr="00000000">
            <w:fldChar w:fldCharType="begin"/>
            <w:instrText xml:space="preserve"> TOC \h \u \z </w:instrText>
            <w:fldChar w:fldCharType="separate"/>
          </w:r>
          <w:hyperlink w:anchor="_heading=h.3znysh7">
            <w:r w:rsidDel="00000000" w:rsidR="00000000" w:rsidRPr="00000000">
              <w:rPr>
                <w:b w:val="1"/>
                <w:color w:val="000000"/>
                <w:rtl w:val="0"/>
              </w:rPr>
              <w:t xml:space="preserve">1.</w:t>
            </w:r>
          </w:hyperlink>
          <w:hyperlink w:anchor="_heading=h.3znysh7">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_heading=h.3znysh7 \h </w:instrText>
            <w:fldChar w:fldCharType="separate"/>
          </w:r>
          <w:r w:rsidDel="00000000" w:rsidR="00000000" w:rsidRPr="00000000">
            <w:rPr>
              <w:b w:val="1"/>
              <w:color w:val="000000"/>
              <w:rtl w:val="0"/>
            </w:rPr>
            <w:t xml:space="preserve">Introduction</w:t>
          </w:r>
          <w:r w:rsidDel="00000000" w:rsidR="00000000" w:rsidRPr="00000000">
            <w:rPr>
              <w:color w:val="000000"/>
              <w:rtl w:val="0"/>
            </w:rPr>
            <w:tab/>
          </w:r>
          <w:r w:rsidDel="00000000" w:rsidR="00000000" w:rsidRPr="00000000">
            <w:rPr>
              <w:color w:val="000000"/>
              <w:rtl w:val="0"/>
            </w:rPr>
            <w:t xml:space="preserve">3</w:t>
          </w:r>
          <w:r w:rsidDel="00000000" w:rsidR="00000000" w:rsidRPr="00000000">
            <w:fldChar w:fldCharType="begin"/>
            <w:instrText xml:space="preserve"> HYPERLINK \l "_heading=h.3znysh7"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426"/>
              <w:tab w:val="right" w:pos="9350"/>
            </w:tabs>
            <w:spacing w:after="100" w:lineRule="auto"/>
            <w:rPr>
              <w:rFonts w:ascii="Cambria" w:cs="Cambria" w:eastAsia="Cambria" w:hAnsi="Cambria"/>
              <w:color w:val="000000"/>
              <w:sz w:val="22"/>
              <w:szCs w:val="22"/>
            </w:rPr>
          </w:pPr>
          <w:r w:rsidDel="00000000" w:rsidR="00000000" w:rsidRPr="00000000">
            <w:fldChar w:fldCharType="end"/>
          </w:r>
          <w:hyperlink w:anchor="_heading=h.2et92p0">
            <w:r w:rsidDel="00000000" w:rsidR="00000000" w:rsidRPr="00000000">
              <w:rPr>
                <w:b w:val="1"/>
                <w:color w:val="000000"/>
                <w:rtl w:val="0"/>
              </w:rPr>
              <w:t xml:space="preserve">1.1 </w:t>
            </w:r>
          </w:hyperlink>
          <w:hyperlink w:anchor="_heading=h.2et92p0">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_heading=h.2et92p0 \h </w:instrText>
            <w:fldChar w:fldCharType="separate"/>
          </w:r>
          <w:r w:rsidDel="00000000" w:rsidR="00000000" w:rsidRPr="00000000">
            <w:rPr>
              <w:b w:val="1"/>
              <w:color w:val="000000"/>
              <w:rtl w:val="0"/>
            </w:rPr>
            <w:t xml:space="preserve">Customer Needs Statement</w:t>
          </w:r>
          <w:r w:rsidDel="00000000" w:rsidR="00000000" w:rsidRPr="00000000">
            <w:rPr>
              <w:color w:val="000000"/>
              <w:rtl w:val="0"/>
            </w:rPr>
            <w:tab/>
            <w:t xml:space="preserve">3</w:t>
          </w:r>
          <w:r w:rsidDel="00000000" w:rsidR="00000000" w:rsidRPr="00000000">
            <w:fldChar w:fldCharType="begin"/>
            <w:instrText xml:space="preserve"> HYPERLINK \l "_heading=h.2et92p0"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426"/>
              <w:tab w:val="right" w:pos="9350"/>
            </w:tabs>
            <w:spacing w:after="100" w:lineRule="auto"/>
            <w:rPr>
              <w:rFonts w:ascii="Cambria" w:cs="Cambria" w:eastAsia="Cambria" w:hAnsi="Cambria"/>
              <w:color w:val="000000"/>
              <w:sz w:val="22"/>
              <w:szCs w:val="22"/>
            </w:rPr>
          </w:pPr>
          <w:r w:rsidDel="00000000" w:rsidR="00000000" w:rsidRPr="00000000">
            <w:fldChar w:fldCharType="end"/>
          </w:r>
          <w:r w:rsidDel="00000000" w:rsidR="00000000" w:rsidRPr="00000000">
            <w:rPr>
              <w:b w:val="1"/>
              <w:color w:val="000000"/>
              <w:rtl w:val="0"/>
            </w:rPr>
            <w:t xml:space="preserve">1.2  </w:t>
          </w:r>
          <w:hyperlink w:anchor="_heading=h.tyjcwt">
            <w:r w:rsidDel="00000000" w:rsidR="00000000" w:rsidRPr="00000000">
              <w:rPr>
                <w:b w:val="1"/>
                <w:color w:val="000000"/>
                <w:rtl w:val="0"/>
              </w:rPr>
              <w:t xml:space="preserve">The Opportunity</w:t>
            </w:r>
          </w:hyperlink>
          <w:hyperlink w:anchor="_heading=h.tyjcwt">
            <w:r w:rsidDel="00000000" w:rsidR="00000000" w:rsidRPr="00000000">
              <w:rPr>
                <w:color w:val="000000"/>
                <w:rtl w:val="0"/>
              </w:rPr>
              <w:tab/>
              <w:t xml:space="preserve">3</w:t>
            </w:r>
          </w:hyperlink>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426"/>
              <w:tab w:val="right" w:pos="9350"/>
            </w:tabs>
            <w:spacing w:after="100" w:lineRule="auto"/>
            <w:rPr>
              <w:rFonts w:ascii="Cambria" w:cs="Cambria" w:eastAsia="Cambria" w:hAnsi="Cambria"/>
              <w:color w:val="000000"/>
              <w:sz w:val="22"/>
              <w:szCs w:val="22"/>
            </w:rPr>
          </w:pPr>
          <w:hyperlink w:anchor="_heading=h.3dy6vkm">
            <w:r w:rsidDel="00000000" w:rsidR="00000000" w:rsidRPr="00000000">
              <w:rPr>
                <w:b w:val="1"/>
                <w:color w:val="000000"/>
                <w:rtl w:val="0"/>
              </w:rPr>
              <w:t xml:space="preserve">1.3 </w:t>
            </w:r>
          </w:hyperlink>
          <w:hyperlink w:anchor="_heading=h.3dy6vkm">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_heading=h.3dy6vkm \h </w:instrText>
            <w:fldChar w:fldCharType="separate"/>
          </w:r>
          <w:r w:rsidDel="00000000" w:rsidR="00000000" w:rsidRPr="00000000">
            <w:rPr>
              <w:b w:val="1"/>
              <w:color w:val="000000"/>
              <w:rtl w:val="0"/>
            </w:rPr>
            <w:t xml:space="preserve">The current situation</w:t>
          </w:r>
          <w:r w:rsidDel="00000000" w:rsidR="00000000" w:rsidRPr="00000000">
            <w:rPr>
              <w:color w:val="000000"/>
              <w:rtl w:val="0"/>
            </w:rPr>
            <w:tab/>
            <w:t xml:space="preserve">6</w:t>
          </w:r>
          <w:r w:rsidDel="00000000" w:rsidR="00000000" w:rsidRPr="00000000">
            <w:fldChar w:fldCharType="begin"/>
            <w:instrText xml:space="preserve"> HYPERLINK \l "_heading=h.3dy6vkm"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440"/>
              <w:tab w:val="right" w:pos="9350"/>
            </w:tabs>
            <w:spacing w:after="100" w:lineRule="auto"/>
            <w:rPr>
              <w:rFonts w:ascii="Cambria" w:cs="Cambria" w:eastAsia="Cambria" w:hAnsi="Cambria"/>
              <w:color w:val="000000"/>
              <w:sz w:val="22"/>
              <w:szCs w:val="22"/>
            </w:rPr>
          </w:pPr>
          <w:r w:rsidDel="00000000" w:rsidR="00000000" w:rsidRPr="00000000">
            <w:fldChar w:fldCharType="end"/>
          </w:r>
          <w:hyperlink w:anchor="_heading=h.1t3h5sf">
            <w:r w:rsidDel="00000000" w:rsidR="00000000" w:rsidRPr="00000000">
              <w:rPr>
                <w:b w:val="1"/>
                <w:color w:val="000000"/>
                <w:rtl w:val="0"/>
              </w:rPr>
              <w:t xml:space="preserve">2.</w:t>
            </w:r>
          </w:hyperlink>
          <w:hyperlink w:anchor="_heading=h.1t3h5sf">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_heading=h.1t3h5sf \h </w:instrText>
            <w:fldChar w:fldCharType="separate"/>
          </w:r>
          <w:r w:rsidDel="00000000" w:rsidR="00000000" w:rsidRPr="00000000">
            <w:rPr>
              <w:b w:val="1"/>
              <w:color w:val="000000"/>
              <w:rtl w:val="0"/>
            </w:rPr>
            <w:t xml:space="preserve">Specification (Schedule </w:t>
          </w:r>
          <w:r w:rsidDel="00000000" w:rsidR="00000000" w:rsidRPr="00000000">
            <w:rPr>
              <w:b w:val="1"/>
              <w:rtl w:val="0"/>
            </w:rPr>
            <w:t xml:space="preserve">1</w:t>
          </w:r>
          <w:r w:rsidDel="00000000" w:rsidR="00000000" w:rsidRPr="00000000">
            <w:rPr>
              <w:b w:val="1"/>
              <w:color w:val="000000"/>
              <w:rtl w:val="0"/>
            </w:rPr>
            <w:t xml:space="preserve"> Part A Goods and/or Services)</w:t>
          </w:r>
          <w:r w:rsidDel="00000000" w:rsidR="00000000" w:rsidRPr="00000000">
            <w:rPr>
              <w:color w:val="000000"/>
              <w:rtl w:val="0"/>
            </w:rPr>
            <w:tab/>
            <w:t xml:space="preserve">7</w:t>
          </w:r>
          <w:r w:rsidDel="00000000" w:rsidR="00000000" w:rsidRPr="00000000">
            <w:fldChar w:fldCharType="begin"/>
            <w:instrText xml:space="preserve"> HYPERLINK \l "_heading=h.1t3h5sf"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426"/>
              <w:tab w:val="right" w:pos="9350"/>
            </w:tabs>
            <w:spacing w:after="100" w:lineRule="auto"/>
            <w:rPr>
              <w:rFonts w:ascii="Cambria" w:cs="Cambria" w:eastAsia="Cambria" w:hAnsi="Cambria"/>
              <w:color w:val="000000"/>
              <w:sz w:val="22"/>
              <w:szCs w:val="22"/>
            </w:rPr>
          </w:pPr>
          <w:r w:rsidDel="00000000" w:rsidR="00000000" w:rsidRPr="00000000">
            <w:fldChar w:fldCharType="end"/>
          </w:r>
          <w:hyperlink w:anchor="_heading=h.4d34og8">
            <w:r w:rsidDel="00000000" w:rsidR="00000000" w:rsidRPr="00000000">
              <w:rPr>
                <w:b w:val="1"/>
                <w:color w:val="000000"/>
                <w:rtl w:val="0"/>
              </w:rPr>
              <w:t xml:space="preserve">2.1 </w:t>
            </w:r>
          </w:hyperlink>
          <w:hyperlink w:anchor="_heading=h.4d34og8">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_heading=h.4d34og8 \h </w:instrText>
            <w:fldChar w:fldCharType="separate"/>
          </w:r>
          <w:r w:rsidDel="00000000" w:rsidR="00000000" w:rsidRPr="00000000">
            <w:rPr>
              <w:b w:val="1"/>
              <w:color w:val="000000"/>
              <w:rtl w:val="0"/>
            </w:rPr>
            <w:t xml:space="preserve">Our priorities</w:t>
          </w:r>
          <w:r w:rsidDel="00000000" w:rsidR="00000000" w:rsidRPr="00000000">
            <w:rPr>
              <w:color w:val="000000"/>
              <w:rtl w:val="0"/>
            </w:rPr>
            <w:tab/>
            <w:t xml:space="preserve">7</w:t>
          </w:r>
          <w:r w:rsidDel="00000000" w:rsidR="00000000" w:rsidRPr="00000000">
            <w:fldChar w:fldCharType="begin"/>
            <w:instrText xml:space="preserve"> HYPERLINK \l "_heading=h.4d34og8"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426"/>
              <w:tab w:val="right" w:pos="9350"/>
            </w:tabs>
            <w:spacing w:after="100" w:lineRule="auto"/>
            <w:rPr/>
          </w:pPr>
          <w:r w:rsidDel="00000000" w:rsidR="00000000" w:rsidRPr="00000000">
            <w:fldChar w:fldCharType="end"/>
          </w:r>
          <w:hyperlink w:anchor="_heading=h.7bed83o5ozl0">
            <w:r w:rsidDel="00000000" w:rsidR="00000000" w:rsidRPr="00000000">
              <w:rPr>
                <w:b w:val="1"/>
                <w:rtl w:val="0"/>
              </w:rPr>
              <w:t xml:space="preserve">2.2 </w:t>
            </w:r>
          </w:hyperlink>
          <w:hyperlink w:anchor="_heading=h.7bed83o5ozl0">
            <w:r w:rsidDel="00000000" w:rsidR="00000000" w:rsidRPr="00000000">
              <w:rPr>
                <w:rFonts w:ascii="Cambria" w:cs="Cambria" w:eastAsia="Cambria" w:hAnsi="Cambria"/>
                <w:sz w:val="22"/>
                <w:szCs w:val="22"/>
                <w:rtl w:val="0"/>
              </w:rPr>
              <w:tab/>
            </w:r>
          </w:hyperlink>
          <w:r w:rsidDel="00000000" w:rsidR="00000000" w:rsidRPr="00000000">
            <w:fldChar w:fldCharType="begin"/>
            <w:instrText xml:space="preserve"> PAGEREF _heading=h.7bed83o5ozl0 \h </w:instrText>
            <w:fldChar w:fldCharType="separate"/>
          </w:r>
          <w:r w:rsidDel="00000000" w:rsidR="00000000" w:rsidRPr="00000000">
            <w:rPr>
              <w:b w:val="1"/>
              <w:rtl w:val="0"/>
            </w:rPr>
            <w:t xml:space="preserve">Scope</w:t>
          </w:r>
          <w:r w:rsidDel="00000000" w:rsidR="00000000" w:rsidRPr="00000000">
            <w:fldChar w:fldCharType="end"/>
          </w:r>
          <w:r w:rsidDel="00000000" w:rsidR="00000000" w:rsidRPr="00000000">
            <w:rPr>
              <w:rtl w:val="0"/>
            </w:rPr>
            <w:tab/>
            <w:t xml:space="preserve">7</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426"/>
              <w:tab w:val="right" w:pos="9350"/>
            </w:tabs>
            <w:spacing w:after="100" w:lineRule="auto"/>
            <w:rPr/>
          </w:pPr>
          <w:hyperlink w:anchor="_heading=h.ppugdb74p954">
            <w:r w:rsidDel="00000000" w:rsidR="00000000" w:rsidRPr="00000000">
              <w:rPr>
                <w:b w:val="1"/>
                <w:rtl w:val="0"/>
              </w:rPr>
              <w:t xml:space="preserve">2.3. Key Service Requirements </w:t>
            </w:r>
          </w:hyperlink>
          <w:hyperlink w:anchor="_heading=h.17dp8vu">
            <w:r w:rsidDel="00000000" w:rsidR="00000000" w:rsidRPr="00000000">
              <w:rPr>
                <w:color w:val="000000"/>
                <w:rtl w:val="0"/>
              </w:rPr>
              <w:tab/>
              <w:t xml:space="preserve">7</w:t>
            </w:r>
          </w:hyperlink>
          <w:r w:rsidDel="00000000" w:rsidR="00000000" w:rsidRPr="00000000">
            <w:rPr>
              <w:rtl w:val="0"/>
            </w:rPr>
          </w:r>
        </w:p>
        <w:p w:rsidR="00000000" w:rsidDel="00000000" w:rsidP="00000000" w:rsidRDefault="00000000" w:rsidRPr="00000000" w14:paraId="0000001A">
          <w:pPr>
            <w:spacing w:after="0" w:line="240" w:lineRule="auto"/>
            <w:ind w:left="0"/>
            <w:rPr>
              <w:b w:val="0"/>
            </w:rPr>
          </w:pPr>
          <w:hyperlink w:anchor="_heading=h.bl7j6622armu">
            <w:r w:rsidDel="00000000" w:rsidR="00000000" w:rsidRPr="00000000">
              <w:rPr>
                <w:b w:val="1"/>
                <w:rtl w:val="0"/>
              </w:rPr>
              <w:t xml:space="preserve">2.4. Award Procedure</w:t>
            </w:r>
          </w:hyperlink>
          <w:r w:rsidDel="00000000" w:rsidR="00000000" w:rsidRPr="00000000">
            <w:rPr>
              <w:b w:val="1"/>
              <w:rtl w:val="0"/>
            </w:rPr>
            <w:tab/>
          </w:r>
          <w:r w:rsidDel="00000000" w:rsidR="00000000" w:rsidRPr="00000000">
            <w:rPr>
              <w:rtl w:val="0"/>
            </w:rPr>
            <w:tab/>
            <w:tab/>
            <w:tab/>
            <w:tab/>
            <w:tab/>
            <w:tab/>
            <w:tab/>
            <w:tab/>
            <w:t xml:space="preserve">       </w:t>
          </w:r>
          <w:r w:rsidDel="00000000" w:rsidR="00000000" w:rsidRPr="00000000">
            <w:rPr>
              <w:b w:val="0"/>
              <w:rtl w:val="0"/>
            </w:rPr>
            <w:t xml:space="preserve">11</w:t>
          </w:r>
          <w:r w:rsidDel="00000000" w:rsidR="00000000" w:rsidRPr="00000000">
            <w:fldChar w:fldCharType="end"/>
          </w:r>
        </w:p>
      </w:sdtContent>
    </w:sdt>
    <w:p w:rsidR="00000000" w:rsidDel="00000000" w:rsidP="00000000" w:rsidRDefault="00000000" w:rsidRPr="00000000" w14:paraId="0000001B">
      <w:pPr>
        <w:rPr/>
      </w:pPr>
      <w:bookmarkStart w:colFirst="0" w:colLast="0" w:name="_heading=h.1fob9te" w:id="2"/>
      <w:bookmarkEnd w:id="2"/>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ab/>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br w:type="page"/>
      </w:r>
      <w:r w:rsidDel="00000000" w:rsidR="00000000" w:rsidRPr="00000000">
        <w:rPr>
          <w:rtl w:val="0"/>
        </w:rPr>
      </w:r>
    </w:p>
    <w:p w:rsidR="00000000" w:rsidDel="00000000" w:rsidP="00000000" w:rsidRDefault="00000000" w:rsidRPr="00000000" w14:paraId="00000027">
      <w:pPr>
        <w:pStyle w:val="Heading1"/>
        <w:numPr>
          <w:ilvl w:val="0"/>
          <w:numId w:val="13"/>
        </w:numPr>
        <w:ind w:left="851" w:hanging="851"/>
        <w:rPr>
          <w:b w:val="1"/>
          <w:color w:val="000000"/>
        </w:rPr>
      </w:pPr>
      <w:bookmarkStart w:colFirst="0" w:colLast="0" w:name="_heading=h.3znysh7" w:id="3"/>
      <w:bookmarkEnd w:id="3"/>
      <w:r w:rsidDel="00000000" w:rsidR="00000000" w:rsidRPr="00000000">
        <w:rPr>
          <w:b w:val="1"/>
          <w:color w:val="000000"/>
          <w:rtl w:val="0"/>
        </w:rPr>
        <w:t xml:space="preserve">Introduction</w:t>
      </w:r>
    </w:p>
    <w:p w:rsidR="00000000" w:rsidDel="00000000" w:rsidP="00000000" w:rsidRDefault="00000000" w:rsidRPr="00000000" w14:paraId="00000028">
      <w:pPr>
        <w:pStyle w:val="Heading2"/>
        <w:ind w:left="851" w:hanging="851"/>
        <w:rPr>
          <w:b w:val="1"/>
          <w:color w:val="000000"/>
        </w:rPr>
      </w:pPr>
      <w:bookmarkStart w:colFirst="0" w:colLast="0" w:name="_heading=h.2et92p0" w:id="4"/>
      <w:bookmarkEnd w:id="4"/>
      <w:r w:rsidDel="00000000" w:rsidR="00000000" w:rsidRPr="00000000">
        <w:rPr>
          <w:b w:val="1"/>
          <w:color w:val="000000"/>
          <w:rtl w:val="0"/>
        </w:rPr>
        <w:t xml:space="preserve">1.1 </w:t>
        <w:tab/>
        <w:t xml:space="preserve">Customer Needs Statement</w:t>
      </w:r>
    </w:p>
    <w:p w:rsidR="00000000" w:rsidDel="00000000" w:rsidP="00000000" w:rsidRDefault="00000000" w:rsidRPr="00000000" w14:paraId="00000029">
      <w:pPr>
        <w:spacing w:after="120" w:before="120" w:line="240" w:lineRule="auto"/>
        <w:ind w:hanging="1"/>
        <w:jc w:val="both"/>
        <w:rPr/>
      </w:pPr>
      <w:r w:rsidDel="00000000" w:rsidR="00000000" w:rsidRPr="00000000">
        <w:rPr>
          <w:rtl w:val="0"/>
        </w:rPr>
        <w:t xml:space="preserve">Crown Commercial Service (CCS) is seeking to establish a Dynamic Purchasing Agreement (DPS) for the provision of Leasing and Loan Finance for all UK central government departments, wider public sector organisations and charities as listed in the Contract Notice for RM6120 – Leasing and Loans Finance DPS.</w:t>
      </w:r>
    </w:p>
    <w:p w:rsidR="00000000" w:rsidDel="00000000" w:rsidP="00000000" w:rsidRDefault="00000000" w:rsidRPr="00000000" w14:paraId="0000002A">
      <w:pPr>
        <w:spacing w:after="120" w:before="120" w:line="240" w:lineRule="auto"/>
        <w:ind w:hanging="1"/>
        <w:jc w:val="both"/>
        <w:rPr/>
      </w:pPr>
      <w:r w:rsidDel="00000000" w:rsidR="00000000" w:rsidRPr="00000000">
        <w:rPr>
          <w:rtl w:val="0"/>
        </w:rPr>
        <w:t xml:space="preserve">This RM6120 – Leasing and Loans Finance DPS Agreement will be managed by CCS and any contract(s) awarded under this DPS Agreement will be managed by individual Customers.</w:t>
      </w:r>
    </w:p>
    <w:p w:rsidR="00000000" w:rsidDel="00000000" w:rsidP="00000000" w:rsidRDefault="00000000" w:rsidRPr="00000000" w14:paraId="0000002B">
      <w:pPr>
        <w:spacing w:after="120" w:before="120" w:line="240" w:lineRule="auto"/>
        <w:ind w:hanging="1"/>
        <w:jc w:val="both"/>
        <w:rPr>
          <w:color w:val="ff0000"/>
        </w:rPr>
      </w:pPr>
      <w:r w:rsidDel="00000000" w:rsidR="00000000" w:rsidRPr="00000000">
        <w:rPr>
          <w:rtl w:val="0"/>
        </w:rPr>
        <w:t xml:space="preserve">The intended duration period of the RM6120 DPS Agreement is for 4 years, 48 months. There is an optional extension period of up to 4 years. In the event that the RM6120 DPS Agreement is terminated, CCS shall give the Supplier no less than three (3) Months written notice. CCS acknowledges </w:t>
      </w:r>
      <w:r w:rsidDel="00000000" w:rsidR="00000000" w:rsidRPr="00000000">
        <w:rPr>
          <w:rtl w:val="0"/>
        </w:rPr>
        <w:t xml:space="preserve">that RM6120</w:t>
      </w:r>
      <w:r w:rsidDel="00000000" w:rsidR="00000000" w:rsidRPr="00000000">
        <w:rPr>
          <w:rtl w:val="0"/>
        </w:rPr>
        <w:t xml:space="preserve"> DPS Agreement will not be terminated within the initial first two (2) months from the commencement date.</w:t>
      </w:r>
      <w:r w:rsidDel="00000000" w:rsidR="00000000" w:rsidRPr="00000000">
        <w:rPr>
          <w:rtl w:val="0"/>
        </w:rPr>
      </w:r>
    </w:p>
    <w:p w:rsidR="00000000" w:rsidDel="00000000" w:rsidP="00000000" w:rsidRDefault="00000000" w:rsidRPr="00000000" w14:paraId="0000002C">
      <w:pPr>
        <w:spacing w:after="120" w:before="120" w:line="240" w:lineRule="auto"/>
        <w:ind w:hanging="1"/>
        <w:jc w:val="both"/>
        <w:rPr/>
      </w:pPr>
      <w:r w:rsidDel="00000000" w:rsidR="00000000" w:rsidRPr="00000000">
        <w:rPr>
          <w:rtl w:val="0"/>
        </w:rPr>
        <w:t xml:space="preserve">Customers may enter into a contract with you for a period of their determining, which may exceed the duration of the RM6120 DPS Agreement. </w:t>
      </w:r>
    </w:p>
    <w:p w:rsidR="00000000" w:rsidDel="00000000" w:rsidP="00000000" w:rsidRDefault="00000000" w:rsidRPr="00000000" w14:paraId="0000002D">
      <w:pPr>
        <w:spacing w:after="120" w:before="120" w:line="240" w:lineRule="auto"/>
        <w:ind w:hanging="1"/>
        <w:jc w:val="both"/>
        <w:rPr/>
      </w:pPr>
      <w:r w:rsidDel="00000000" w:rsidR="00000000" w:rsidRPr="00000000">
        <w:rPr>
          <w:rtl w:val="0"/>
        </w:rPr>
        <w:t xml:space="preserve">The flexibility of the contracting period allows the customer to determine appropriate contracting timelines required in order that the supplier can meet the needs of the customer for large and complex projects. </w:t>
      </w:r>
    </w:p>
    <w:p w:rsidR="00000000" w:rsidDel="00000000" w:rsidP="00000000" w:rsidRDefault="00000000" w:rsidRPr="00000000" w14:paraId="0000002E">
      <w:pPr>
        <w:pStyle w:val="Heading2"/>
        <w:ind w:left="851" w:hanging="851"/>
        <w:rPr>
          <w:b w:val="1"/>
          <w:color w:val="000000"/>
        </w:rPr>
      </w:pPr>
      <w:bookmarkStart w:colFirst="0" w:colLast="0" w:name="_heading=h.tyjcwt" w:id="5"/>
      <w:bookmarkEnd w:id="5"/>
      <w:r w:rsidDel="00000000" w:rsidR="00000000" w:rsidRPr="00000000">
        <w:rPr>
          <w:b w:val="1"/>
          <w:color w:val="000000"/>
          <w:rtl w:val="0"/>
        </w:rPr>
        <w:t xml:space="preserve">1.2 </w:t>
        <w:tab/>
        <w:t xml:space="preserve">The Opportunity</w:t>
      </w:r>
    </w:p>
    <w:p w:rsidR="00000000" w:rsidDel="00000000" w:rsidP="00000000" w:rsidRDefault="00000000" w:rsidRPr="00000000" w14:paraId="0000002F">
      <w:pPr>
        <w:spacing w:after="120" w:before="120" w:line="240" w:lineRule="auto"/>
        <w:ind w:hanging="1"/>
        <w:jc w:val="both"/>
        <w:rPr/>
      </w:pPr>
      <w:r w:rsidDel="00000000" w:rsidR="00000000" w:rsidRPr="00000000">
        <w:rPr>
          <w:rtl w:val="0"/>
        </w:rPr>
        <w:t xml:space="preserve">The RM6120 – Leasing and Loans Finance DPS Agreement will provide central government </w:t>
      </w:r>
      <w:r w:rsidDel="00000000" w:rsidR="00000000" w:rsidRPr="00000000">
        <w:rPr>
          <w:rtl w:val="0"/>
        </w:rPr>
        <w:t xml:space="preserve">departments </w:t>
      </w:r>
      <w:r w:rsidDel="00000000" w:rsidR="00000000" w:rsidRPr="00000000">
        <w:rPr>
          <w:rtl w:val="0"/>
        </w:rPr>
        <w:t xml:space="preserve">and wider public sector organisations and </w:t>
      </w:r>
      <w:r w:rsidDel="00000000" w:rsidR="00000000" w:rsidRPr="00000000">
        <w:rPr>
          <w:rtl w:val="0"/>
        </w:rPr>
        <w:t xml:space="preserve">charities</w:t>
      </w:r>
      <w:r w:rsidDel="00000000" w:rsidR="00000000" w:rsidRPr="00000000">
        <w:rPr>
          <w:rtl w:val="0"/>
        </w:rPr>
        <w:t xml:space="preserve">  with the opportunity to procure a range of Leasing and Loan Finance arrangements for the purpose of an asset acquisition via a comprehensive number of suppliers.</w:t>
      </w:r>
    </w:p>
    <w:p w:rsidR="00000000" w:rsidDel="00000000" w:rsidP="00000000" w:rsidRDefault="00000000" w:rsidRPr="00000000" w14:paraId="00000030">
      <w:pPr>
        <w:spacing w:after="120" w:before="120" w:line="240" w:lineRule="auto"/>
        <w:ind w:hanging="1"/>
        <w:jc w:val="both"/>
        <w:rPr/>
      </w:pPr>
      <w:r w:rsidDel="00000000" w:rsidR="00000000" w:rsidRPr="00000000">
        <w:rPr>
          <w:rtl w:val="0"/>
        </w:rPr>
        <w:t xml:space="preserve">Upon application to join the RM6120 DPS Agreement, bidders are required to indicate which categories and services they are able to bid for. It is therefore essential that bidders select the exact elements relevant to their service offering in order to be invited to the relevant competitions. </w:t>
      </w:r>
    </w:p>
    <w:p w:rsidR="00000000" w:rsidDel="00000000" w:rsidP="00000000" w:rsidRDefault="00000000" w:rsidRPr="00000000" w14:paraId="00000031">
      <w:pPr>
        <w:spacing w:after="120" w:before="120" w:line="240" w:lineRule="auto"/>
        <w:ind w:hanging="1"/>
        <w:jc w:val="both"/>
        <w:rPr/>
      </w:pPr>
      <w:r w:rsidDel="00000000" w:rsidR="00000000" w:rsidRPr="00000000">
        <w:rPr>
          <w:rtl w:val="0"/>
        </w:rPr>
        <w:t xml:space="preserve">Customers will use the filters as detailed in Attachment 1 – Leasing and Loans Finance DPS Filter Matrix, to short-list appointed suppliers offering their service requirements and invite them to competition. </w:t>
      </w:r>
    </w:p>
    <w:p w:rsidR="00000000" w:rsidDel="00000000" w:rsidP="00000000" w:rsidRDefault="00000000" w:rsidRPr="00000000" w14:paraId="00000032">
      <w:pPr>
        <w:spacing w:after="120" w:before="120" w:line="240" w:lineRule="auto"/>
        <w:ind w:hanging="1"/>
        <w:jc w:val="both"/>
        <w:rPr/>
      </w:pPr>
      <w:r w:rsidDel="00000000" w:rsidR="00000000" w:rsidRPr="00000000">
        <w:rPr>
          <w:rtl w:val="0"/>
        </w:rPr>
      </w:r>
    </w:p>
    <w:p w:rsidR="00000000" w:rsidDel="00000000" w:rsidP="00000000" w:rsidRDefault="00000000" w:rsidRPr="00000000" w14:paraId="00000033">
      <w:pPr>
        <w:spacing w:after="120" w:before="120" w:line="240" w:lineRule="auto"/>
        <w:ind w:hanging="1"/>
        <w:jc w:val="both"/>
        <w:rPr/>
      </w:pPr>
      <w:r w:rsidDel="00000000" w:rsidR="00000000" w:rsidRPr="00000000">
        <w:rPr>
          <w:rtl w:val="0"/>
        </w:rPr>
      </w:r>
    </w:p>
    <w:p w:rsidR="00000000" w:rsidDel="00000000" w:rsidP="00000000" w:rsidRDefault="00000000" w:rsidRPr="00000000" w14:paraId="00000034">
      <w:pPr>
        <w:spacing w:after="120" w:before="120" w:line="240" w:lineRule="auto"/>
        <w:ind w:left="851" w:hanging="851"/>
        <w:jc w:val="both"/>
        <w:rPr>
          <w:b w:val="1"/>
        </w:rPr>
      </w:pPr>
      <w:r w:rsidDel="00000000" w:rsidR="00000000" w:rsidRPr="00000000">
        <w:br w:type="page"/>
      </w:r>
      <w:r w:rsidDel="00000000" w:rsidR="00000000" w:rsidRPr="00000000">
        <w:rPr>
          <w:rtl w:val="0"/>
        </w:rPr>
      </w:r>
    </w:p>
    <w:p w:rsidR="00000000" w:rsidDel="00000000" w:rsidP="00000000" w:rsidRDefault="00000000" w:rsidRPr="00000000" w14:paraId="00000035">
      <w:pPr>
        <w:spacing w:after="120" w:before="120" w:line="240" w:lineRule="auto"/>
        <w:ind w:left="851" w:hanging="851"/>
        <w:jc w:val="both"/>
        <w:rPr>
          <w:b w:val="1"/>
        </w:rPr>
      </w:pPr>
      <w:r w:rsidDel="00000000" w:rsidR="00000000" w:rsidRPr="00000000">
        <w:rPr>
          <w:b w:val="1"/>
          <w:rtl w:val="0"/>
        </w:rPr>
        <w:t xml:space="preserve">What is a Dynamic Purchasing System (DPS)?</w:t>
      </w:r>
    </w:p>
    <w:p w:rsidR="00000000" w:rsidDel="00000000" w:rsidP="00000000" w:rsidRDefault="00000000" w:rsidRPr="00000000" w14:paraId="00000036">
      <w:pPr>
        <w:spacing w:after="120" w:before="120" w:line="240" w:lineRule="auto"/>
        <w:ind w:hanging="1"/>
        <w:jc w:val="both"/>
        <w:rPr/>
      </w:pPr>
      <w:r w:rsidDel="00000000" w:rsidR="00000000" w:rsidRPr="00000000">
        <w:rPr>
          <w:rtl w:val="0"/>
        </w:rPr>
        <w:t xml:space="preserve">A DPS is a public sector sourcing tool for common goods and services under regulation 34 (Dynamic Purchasing Systems) of the </w:t>
      </w:r>
      <w:hyperlink r:id="rId9">
        <w:r w:rsidDel="00000000" w:rsidR="00000000" w:rsidRPr="00000000">
          <w:rPr>
            <w:color w:val="0000ff"/>
            <w:u w:val="single"/>
            <w:rtl w:val="0"/>
          </w:rPr>
          <w:t xml:space="preserve">PCR 2015</w:t>
        </w:r>
      </w:hyperlink>
      <w:r w:rsidDel="00000000" w:rsidR="00000000" w:rsidRPr="00000000">
        <w:rPr>
          <w:rtl w:val="0"/>
        </w:rPr>
        <w:t xml:space="preserve">. Bidders can apply to join at any point and don’t require any special IT equipment as a DPS eliminates unnecessary activity for the bidder, up front:</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mc:AlternateContent>
          <mc:Choice Requires="wpg">
            <w:drawing>
              <wp:inline distB="0" distT="0" distL="0" distR="0">
                <wp:extent cx="4908550" cy="3629660"/>
                <wp:effectExtent b="0" l="0" r="0" t="0"/>
                <wp:docPr id="27" name=""/>
                <a:graphic>
                  <a:graphicData uri="http://schemas.microsoft.com/office/word/2010/wordprocessingGroup">
                    <wpg:wgp>
                      <wpg:cNvGrpSpPr/>
                      <wpg:grpSpPr>
                        <a:xfrm>
                          <a:off x="2891725" y="1965170"/>
                          <a:ext cx="4908550" cy="3629660"/>
                          <a:chOff x="2891725" y="1965170"/>
                          <a:chExt cx="4908550" cy="3629660"/>
                        </a:xfrm>
                      </wpg:grpSpPr>
                      <wpg:grpSp>
                        <wpg:cNvGrpSpPr/>
                        <wpg:grpSpPr>
                          <a:xfrm>
                            <a:off x="2891725" y="1965170"/>
                            <a:ext cx="4908550" cy="3629660"/>
                            <a:chOff x="2891725" y="1965170"/>
                            <a:chExt cx="4908550" cy="3629660"/>
                          </a:xfrm>
                        </wpg:grpSpPr>
                        <wps:wsp>
                          <wps:cNvSpPr/>
                          <wps:cNvPr id="3" name="Shape 3"/>
                          <wps:spPr>
                            <a:xfrm>
                              <a:off x="2891725" y="1965170"/>
                              <a:ext cx="4908550" cy="3629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891725" y="1965170"/>
                              <a:ext cx="4908550" cy="3629660"/>
                              <a:chOff x="2891725" y="1965170"/>
                              <a:chExt cx="4908550" cy="3629660"/>
                            </a:xfrm>
                          </wpg:grpSpPr>
                          <wps:wsp>
                            <wps:cNvSpPr/>
                            <wps:cNvPr id="5" name="Shape 5"/>
                            <wps:spPr>
                              <a:xfrm>
                                <a:off x="2891725" y="1965170"/>
                                <a:ext cx="4908550" cy="3629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891725" y="1965170"/>
                                <a:ext cx="4908550" cy="3629660"/>
                                <a:chOff x="2891725" y="1965170"/>
                                <a:chExt cx="4908550" cy="3629660"/>
                              </a:xfrm>
                            </wpg:grpSpPr>
                            <wps:wsp>
                              <wps:cNvSpPr/>
                              <wps:cNvPr id="7" name="Shape 7"/>
                              <wps:spPr>
                                <a:xfrm>
                                  <a:off x="2891725" y="1965170"/>
                                  <a:ext cx="4908550" cy="3629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891725" y="1965170"/>
                                  <a:ext cx="4908550" cy="3629660"/>
                                  <a:chOff x="2891725" y="1965170"/>
                                  <a:chExt cx="4908550" cy="3629660"/>
                                </a:xfrm>
                              </wpg:grpSpPr>
                              <wps:wsp>
                                <wps:cNvSpPr/>
                                <wps:cNvPr id="9" name="Shape 9"/>
                                <wps:spPr>
                                  <a:xfrm>
                                    <a:off x="2891725" y="1965170"/>
                                    <a:ext cx="4908550" cy="3629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891725" y="1965170"/>
                                    <a:ext cx="4908550" cy="3629660"/>
                                    <a:chOff x="-88016" y="0"/>
                                    <a:chExt cx="5669666" cy="4467860"/>
                                  </a:xfrm>
                                </wpg:grpSpPr>
                                <wps:wsp>
                                  <wps:cNvSpPr/>
                                  <wps:cNvPr id="11" name="Shape 11"/>
                                  <wps:spPr>
                                    <a:xfrm>
                                      <a:off x="-88016" y="0"/>
                                      <a:ext cx="5669650" cy="44678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19050" y="0"/>
                                      <a:ext cx="5551170" cy="360000"/>
                                    </a:xfrm>
                                    <a:prstGeom prst="roundRect">
                                      <a:avLst>
                                        <a:gd fmla="val 16667" name="adj"/>
                                      </a:avLst>
                                    </a:prstGeom>
                                    <a:solidFill>
                                      <a:srgbClr val="757070"/>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1"/>
                                            <w:i w:val="0"/>
                                            <w:smallCaps w:val="0"/>
                                            <w:strike w:val="0"/>
                                            <w:color w:val="000000"/>
                                            <w:sz w:val="18"/>
                                            <w:vertAlign w:val="baseline"/>
                                          </w:rPr>
                                          <w:t xml:space="preserve">CCS Dynamic Purchasing System (DPS)</w:t>
                                        </w:r>
                                      </w:p>
                                    </w:txbxContent>
                                  </wps:txbx>
                                  <wps:bodyPr anchorCtr="0" anchor="ctr" bIns="45700" lIns="91425" spcFirstLastPara="1" rIns="91425" wrap="square" tIns="45700">
                                    <a:noAutofit/>
                                  </wps:bodyPr>
                                </wps:wsp>
                                <wps:wsp>
                                  <wps:cNvSpPr/>
                                  <wps:cNvPr id="13" name="Shape 13"/>
                                  <wps:spPr>
                                    <a:xfrm>
                                      <a:off x="1009650" y="406400"/>
                                      <a:ext cx="4560570" cy="360000"/>
                                    </a:xfrm>
                                    <a:prstGeom prst="roundRect">
                                      <a:avLst>
                                        <a:gd fmla="val 16667" name="adj"/>
                                      </a:avLst>
                                    </a:prstGeom>
                                    <a:solidFill>
                                      <a:srgbClr val="C4E0B2"/>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Leasing and Loans Finance Compliance achieved</w:t>
                                        </w:r>
                                      </w:p>
                                    </w:txbxContent>
                                  </wps:txbx>
                                  <wps:bodyPr anchorCtr="0" anchor="ctr" bIns="45700" lIns="91425" spcFirstLastPara="1" rIns="91425" wrap="square" tIns="45700">
                                    <a:noAutofit/>
                                  </wps:bodyPr>
                                </wps:wsp>
                                <wps:wsp>
                                  <wps:cNvSpPr/>
                                  <wps:cNvPr id="14" name="Shape 14"/>
                                  <wps:spPr>
                                    <a:xfrm>
                                      <a:off x="12700" y="406400"/>
                                      <a:ext cx="935990" cy="2032000"/>
                                    </a:xfrm>
                                    <a:prstGeom prst="roundRect">
                                      <a:avLst>
                                        <a:gd fmla="val 16667" name="adj"/>
                                      </a:avLst>
                                    </a:prstGeom>
                                    <a:solidFill>
                                      <a:srgbClr val="2E75B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Multiple Suppliers </w:t>
                                        </w:r>
                                      </w:p>
                                    </w:txbxContent>
                                  </wps:txbx>
                                  <wps:bodyPr anchorCtr="0" anchor="ctr" bIns="45700" lIns="91425" spcFirstLastPara="1" rIns="91425" wrap="square" tIns="45700">
                                    <a:noAutofit/>
                                  </wps:bodyPr>
                                </wps:wsp>
                                <wps:wsp>
                                  <wps:cNvSpPr/>
                                  <wps:cNvPr id="15" name="Shape 15"/>
                                  <wps:spPr>
                                    <a:xfrm>
                                      <a:off x="2330450" y="825500"/>
                                      <a:ext cx="3240000" cy="382135"/>
                                    </a:xfrm>
                                    <a:prstGeom prst="roundRect">
                                      <a:avLst>
                                        <a:gd fmla="val 16667" name="adj"/>
                                      </a:avLst>
                                    </a:prstGeom>
                                    <a:solidFill>
                                      <a:srgbClr val="9CC2E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Suppliers can apply to join DPS at any point </w:t>
                                        </w:r>
                                      </w:p>
                                    </w:txbxContent>
                                  </wps:txbx>
                                  <wps:bodyPr anchorCtr="0" anchor="ctr" bIns="45700" lIns="91425" spcFirstLastPara="1" rIns="91425" wrap="square" tIns="45700">
                                    <a:noAutofit/>
                                  </wps:bodyPr>
                                </wps:wsp>
                                <wps:wsp>
                                  <wps:cNvSpPr/>
                                  <wps:cNvPr id="16" name="Shape 16"/>
                                  <wps:spPr>
                                    <a:xfrm>
                                      <a:off x="2330450" y="1644650"/>
                                      <a:ext cx="3240000" cy="359410"/>
                                    </a:xfrm>
                                    <a:prstGeom prst="roundRect">
                                      <a:avLst>
                                        <a:gd fmla="val 16667" name="adj"/>
                                      </a:avLst>
                                    </a:prstGeom>
                                    <a:solidFill>
                                      <a:srgbClr val="9CC2E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DPS Agreement Terms &amp; Conditions accepted</w:t>
                                        </w:r>
                                      </w:p>
                                    </w:txbxContent>
                                  </wps:txbx>
                                  <wps:bodyPr anchorCtr="0" anchor="ctr" bIns="45700" lIns="91425" spcFirstLastPara="1" rIns="91425" wrap="square" tIns="45700">
                                    <a:noAutofit/>
                                  </wps:bodyPr>
                                </wps:wsp>
                                <wps:wsp>
                                  <wps:cNvSpPr/>
                                  <wps:cNvPr id="17" name="Shape 17"/>
                                  <wps:spPr>
                                    <a:xfrm>
                                      <a:off x="-88016" y="2889250"/>
                                      <a:ext cx="1024005" cy="1578610"/>
                                    </a:xfrm>
                                    <a:prstGeom prst="roundRect">
                                      <a:avLst>
                                        <a:gd fmla="val 16667" name="adj"/>
                                      </a:avLst>
                                    </a:prstGeom>
                                    <a:solidFill>
                                      <a:srgbClr val="C55A1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Multiple Customers</w:t>
                                        </w:r>
                                      </w:p>
                                    </w:txbxContent>
                                  </wps:txbx>
                                  <wps:bodyPr anchorCtr="0" anchor="ctr" bIns="45700" lIns="91425" spcFirstLastPara="1" rIns="91425" wrap="square" tIns="45700">
                                    <a:noAutofit/>
                                  </wps:bodyPr>
                                </wps:wsp>
                                <wps:wsp>
                                  <wps:cNvSpPr/>
                                  <wps:cNvPr id="18" name="Shape 18"/>
                                  <wps:spPr>
                                    <a:xfrm>
                                      <a:off x="1009650" y="2889250"/>
                                      <a:ext cx="1281600" cy="1155700"/>
                                    </a:xfrm>
                                    <a:prstGeom prst="roundRect">
                                      <a:avLst>
                                        <a:gd fmla="val 16667" name="adj"/>
                                      </a:avLst>
                                    </a:prstGeom>
                                    <a:solidFill>
                                      <a:srgbClr val="ED7D3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Customers Call for Competition through the DPS</w:t>
                                        </w:r>
                                      </w:p>
                                    </w:txbxContent>
                                  </wps:txbx>
                                  <wps:bodyPr anchorCtr="0" anchor="ctr" bIns="45700" lIns="91425" spcFirstLastPara="1" rIns="91425" wrap="square" tIns="45700">
                                    <a:noAutofit/>
                                  </wps:bodyPr>
                                </wps:wsp>
                                <wps:wsp>
                                  <wps:cNvSpPr/>
                                  <wps:cNvPr id="19" name="Shape 19"/>
                                  <wps:spPr>
                                    <a:xfrm>
                                      <a:off x="1009650" y="2070100"/>
                                      <a:ext cx="4572000" cy="359410"/>
                                    </a:xfrm>
                                    <a:prstGeom prst="roundRect">
                                      <a:avLst>
                                        <a:gd fmla="val 16667" name="adj"/>
                                      </a:avLst>
                                    </a:prstGeom>
                                    <a:solidFill>
                                      <a:srgbClr val="70AD47"/>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Suppliers accepted to the DPS – DPS Agreement executed</w:t>
                                        </w:r>
                                      </w:p>
                                    </w:txbxContent>
                                  </wps:txbx>
                                  <wps:bodyPr anchorCtr="0" anchor="ctr" bIns="45700" lIns="91425" spcFirstLastPara="1" rIns="91425" wrap="square" tIns="45700">
                                    <a:noAutofit/>
                                  </wps:bodyPr>
                                </wps:wsp>
                                <wps:wsp>
                                  <wps:cNvSpPr/>
                                  <wps:cNvPr id="20" name="Shape 20"/>
                                  <wps:spPr>
                                    <a:xfrm>
                                      <a:off x="1009650" y="825500"/>
                                      <a:ext cx="1282065" cy="1187450"/>
                                    </a:xfrm>
                                    <a:prstGeom prst="roundRect">
                                      <a:avLst>
                                        <a:gd fmla="val 16667" name="adj"/>
                                      </a:avLst>
                                    </a:prstGeom>
                                    <a:solidFill>
                                      <a:srgbClr val="5B9BD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Suppliers Request to Participate (RtP) in the DPS</w:t>
                                        </w:r>
                                      </w:p>
                                    </w:txbxContent>
                                  </wps:txbx>
                                  <wps:bodyPr anchorCtr="0" anchor="ctr" bIns="45700" lIns="91425" spcFirstLastPara="1" rIns="91425" wrap="square" tIns="45700">
                                    <a:noAutofit/>
                                  </wps:bodyPr>
                                </wps:wsp>
                                <wps:wsp>
                                  <wps:cNvSpPr/>
                                  <wps:cNvPr id="21" name="Shape 21"/>
                                  <wps:spPr>
                                    <a:xfrm>
                                      <a:off x="2330450" y="1231900"/>
                                      <a:ext cx="3240000" cy="359410"/>
                                    </a:xfrm>
                                    <a:prstGeom prst="roundRect">
                                      <a:avLst>
                                        <a:gd fmla="val 16667" name="adj"/>
                                      </a:avLst>
                                    </a:prstGeom>
                                    <a:solidFill>
                                      <a:srgbClr val="9CC2E5"/>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DPS Selection criteria satisfied</w:t>
                                        </w:r>
                                      </w:p>
                                    </w:txbxContent>
                                  </wps:txbx>
                                  <wps:bodyPr anchorCtr="0" anchor="ctr" bIns="45700" lIns="91425" spcFirstLastPara="1" rIns="91425" wrap="square" tIns="45700">
                                    <a:noAutofit/>
                                  </wps:bodyPr>
                                </wps:wsp>
                                <wps:wsp>
                                  <wps:cNvSpPr/>
                                  <wps:cNvPr id="22" name="Shape 22"/>
                                  <wps:spPr>
                                    <a:xfrm>
                                      <a:off x="1009650" y="4108450"/>
                                      <a:ext cx="4572000" cy="359410"/>
                                    </a:xfrm>
                                    <a:prstGeom prst="roundRect">
                                      <a:avLst>
                                        <a:gd fmla="val 16667" name="adj"/>
                                      </a:avLst>
                                    </a:prstGeom>
                                    <a:solidFill>
                                      <a:srgbClr val="70AD47"/>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t xml:space="preserve">Supplier(s) Awarded a Contract </w:t>
                                        </w:r>
                                      </w:p>
                                    </w:txbxContent>
                                  </wps:txbx>
                                  <wps:bodyPr anchorCtr="0" anchor="ctr" bIns="45700" lIns="91425" spcFirstLastPara="1" rIns="91425" wrap="square" tIns="45700">
                                    <a:noAutofit/>
                                  </wps:bodyPr>
                                </wps:wsp>
                                <wps:wsp>
                                  <wps:cNvSpPr/>
                                  <wps:cNvPr id="23" name="Shape 23"/>
                                  <wps:spPr>
                                    <a:xfrm>
                                      <a:off x="2921000" y="2508250"/>
                                      <a:ext cx="774700" cy="349250"/>
                                    </a:xfrm>
                                    <a:prstGeom prst="downArrow">
                                      <a:avLst>
                                        <a:gd fmla="val 50000" name="adj1"/>
                                        <a:gd fmla="val 50000" name="adj2"/>
                                      </a:avLst>
                                    </a:prstGeom>
                                    <a:solidFill>
                                      <a:srgbClr val="70AD47"/>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4" name="Shape 24"/>
                                  <wps:spPr>
                                    <a:xfrm>
                                      <a:off x="2330450" y="2889250"/>
                                      <a:ext cx="3240000" cy="360000"/>
                                    </a:xfrm>
                                    <a:prstGeom prst="roundRect">
                                      <a:avLst>
                                        <a:gd fmla="val 16667" name="adj"/>
                                      </a:avLst>
                                    </a:prstGeom>
                                    <a:solidFill>
                                      <a:srgbClr val="F4B08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Publish Call for Competition</w:t>
                                        </w:r>
                                      </w:p>
                                    </w:txbxContent>
                                  </wps:txbx>
                                  <wps:bodyPr anchorCtr="0" anchor="ctr" bIns="45700" lIns="91425" spcFirstLastPara="1" rIns="91425" wrap="square" tIns="45700">
                                    <a:noAutofit/>
                                  </wps:bodyPr>
                                </wps:wsp>
                                <wps:wsp>
                                  <wps:cNvSpPr/>
                                  <wps:cNvPr id="25" name="Shape 25"/>
                                  <wps:spPr>
                                    <a:xfrm>
                                      <a:off x="2330450" y="3289300"/>
                                      <a:ext cx="3240000" cy="360000"/>
                                    </a:xfrm>
                                    <a:prstGeom prst="roundRect">
                                      <a:avLst>
                                        <a:gd fmla="val 16667" name="adj"/>
                                      </a:avLst>
                                    </a:prstGeom>
                                    <a:solidFill>
                                      <a:srgbClr val="F4B08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Capable DPS Suppliers respond</w:t>
                                        </w:r>
                                      </w:p>
                                    </w:txbxContent>
                                  </wps:txbx>
                                  <wps:bodyPr anchorCtr="0" anchor="ctr" bIns="45700" lIns="91425" spcFirstLastPara="1" rIns="91425" wrap="square" tIns="45700">
                                    <a:noAutofit/>
                                  </wps:bodyPr>
                                </wps:wsp>
                                <wps:wsp>
                                  <wps:cNvSpPr/>
                                  <wps:cNvPr id="26" name="Shape 26"/>
                                  <wps:spPr>
                                    <a:xfrm>
                                      <a:off x="2330450" y="3683000"/>
                                      <a:ext cx="3240000" cy="360000"/>
                                    </a:xfrm>
                                    <a:prstGeom prst="roundRect">
                                      <a:avLst>
                                        <a:gd fmla="val 16667" name="adj"/>
                                      </a:avLst>
                                    </a:prstGeom>
                                    <a:solidFill>
                                      <a:srgbClr val="F4B081"/>
                                    </a:solidFill>
                                    <a:ln cap="flat" cmpd="sng" w="12700">
                                      <a:solidFill>
                                        <a:srgbClr val="42719B"/>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Customers evaluate Supplier responses</w:t>
                                        </w:r>
                                      </w:p>
                                    </w:txbxContent>
                                  </wps:txbx>
                                  <wps:bodyPr anchorCtr="0" anchor="ctr" bIns="45700" lIns="91425" spcFirstLastPara="1" rIns="91425" wrap="square" tIns="45700">
                                    <a:noAutofit/>
                                  </wps:bodyPr>
                                </wps:wsp>
                              </wpg:grpSp>
                            </wpg:grpSp>
                          </wpg:grpSp>
                        </wpg:grpSp>
                      </wpg:grpSp>
                    </wpg:wgp>
                  </a:graphicData>
                </a:graphic>
              </wp:inline>
            </w:drawing>
          </mc:Choice>
          <mc:Fallback>
            <w:drawing>
              <wp:inline distB="0" distT="0" distL="0" distR="0">
                <wp:extent cx="4908550" cy="3629660"/>
                <wp:effectExtent b="0" l="0" r="0" t="0"/>
                <wp:docPr id="27"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4908550" cy="362966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spacing w:after="120" w:before="120" w:line="240" w:lineRule="auto"/>
        <w:ind w:hanging="1"/>
        <w:jc w:val="both"/>
        <w:rPr>
          <w:b w:val="1"/>
        </w:rPr>
      </w:pPr>
      <w:r w:rsidDel="00000000" w:rsidR="00000000" w:rsidRPr="00000000">
        <w:rPr>
          <w:b w:val="1"/>
          <w:rtl w:val="0"/>
        </w:rPr>
        <w:t xml:space="preserve">How will the services within the DPS for RM6120 – Leasing and Loans Finance DPS be organised?</w:t>
      </w:r>
    </w:p>
    <w:p w:rsidR="00000000" w:rsidDel="00000000" w:rsidP="00000000" w:rsidRDefault="00000000" w:rsidRPr="00000000" w14:paraId="0000003B">
      <w:pPr>
        <w:spacing w:after="120" w:before="120" w:line="240" w:lineRule="auto"/>
        <w:ind w:hanging="1"/>
        <w:jc w:val="both"/>
        <w:rPr/>
      </w:pPr>
      <w:r w:rsidDel="00000000" w:rsidR="00000000" w:rsidRPr="00000000">
        <w:rPr>
          <w:rtl w:val="0"/>
        </w:rPr>
        <w:t xml:space="preserve">The RM6120 DPS will be organised into distinct categories so:</w:t>
      </w:r>
    </w:p>
    <w:p w:rsidR="00000000" w:rsidDel="00000000" w:rsidP="00000000" w:rsidRDefault="00000000" w:rsidRPr="00000000" w14:paraId="0000003C">
      <w:pPr>
        <w:spacing w:after="120" w:before="120" w:line="240" w:lineRule="auto"/>
        <w:ind w:hanging="1"/>
        <w:jc w:val="both"/>
        <w:rPr/>
      </w:pPr>
      <w:r w:rsidDel="00000000" w:rsidR="00000000" w:rsidRPr="00000000">
        <w:rPr>
          <w:rtl w:val="0"/>
        </w:rPr>
        <w:t xml:space="preserve">Bidders can indicate all elements relevant to their service offering, and</w:t>
      </w:r>
    </w:p>
    <w:p w:rsidR="00000000" w:rsidDel="00000000" w:rsidP="00000000" w:rsidRDefault="00000000" w:rsidRPr="00000000" w14:paraId="0000003D">
      <w:pPr>
        <w:spacing w:after="120" w:before="120" w:line="240" w:lineRule="auto"/>
        <w:ind w:hanging="1"/>
        <w:jc w:val="both"/>
        <w:rPr/>
      </w:pPr>
      <w:r w:rsidDel="00000000" w:rsidR="00000000" w:rsidRPr="00000000">
        <w:rPr>
          <w:rtl w:val="0"/>
        </w:rPr>
        <w:t xml:space="preserve">Customers can filter the elements to produce a shortlist of appointed suppliers to invite to a competition.</w:t>
      </w:r>
    </w:p>
    <w:p w:rsidR="00000000" w:rsidDel="00000000" w:rsidP="00000000" w:rsidRDefault="00000000" w:rsidRPr="00000000" w14:paraId="0000003E">
      <w:pPr>
        <w:spacing w:after="120" w:before="120" w:line="240" w:lineRule="auto"/>
        <w:ind w:hanging="1"/>
        <w:jc w:val="both"/>
        <w:rPr/>
      </w:pPr>
      <w:r w:rsidDel="00000000" w:rsidR="00000000" w:rsidRPr="00000000">
        <w:rPr>
          <w:rtl w:val="0"/>
        </w:rPr>
        <w:t xml:space="preserve">The four (4) distinct categories comprise of: </w:t>
      </w:r>
    </w:p>
    <w:p w:rsidR="00000000" w:rsidDel="00000000" w:rsidP="00000000" w:rsidRDefault="00000000" w:rsidRPr="00000000" w14:paraId="0000003F">
      <w:pPr>
        <w:numPr>
          <w:ilvl w:val="0"/>
          <w:numId w:val="1"/>
        </w:numPr>
        <w:pBdr>
          <w:top w:space="0" w:sz="0" w:val="nil"/>
          <w:left w:space="0" w:sz="0" w:val="nil"/>
          <w:bottom w:space="0" w:sz="0" w:val="nil"/>
          <w:right w:space="0" w:sz="0" w:val="nil"/>
          <w:between w:space="0" w:sz="0" w:val="nil"/>
        </w:pBdr>
        <w:spacing w:after="0" w:lineRule="auto"/>
        <w:ind w:left="720" w:hanging="360"/>
        <w:rPr>
          <w:color w:val="000000"/>
        </w:rPr>
      </w:pPr>
      <w:r w:rsidDel="00000000" w:rsidR="00000000" w:rsidRPr="00000000">
        <w:rPr>
          <w:color w:val="000000"/>
          <w:rtl w:val="0"/>
        </w:rPr>
        <w:t xml:space="preserve">Funding Type</w:t>
      </w:r>
    </w:p>
    <w:p w:rsidR="00000000" w:rsidDel="00000000" w:rsidP="00000000" w:rsidRDefault="00000000" w:rsidRPr="00000000" w14:paraId="00000040">
      <w:pPr>
        <w:numPr>
          <w:ilvl w:val="0"/>
          <w:numId w:val="1"/>
        </w:numPr>
        <w:pBdr>
          <w:top w:space="0" w:sz="0" w:val="nil"/>
          <w:left w:space="0" w:sz="0" w:val="nil"/>
          <w:bottom w:space="0" w:sz="0" w:val="nil"/>
          <w:right w:space="0" w:sz="0" w:val="nil"/>
          <w:between w:space="0" w:sz="0" w:val="nil"/>
        </w:pBdr>
        <w:spacing w:after="0" w:lineRule="auto"/>
        <w:ind w:left="720" w:hanging="360"/>
        <w:rPr>
          <w:color w:val="000000"/>
        </w:rPr>
      </w:pPr>
      <w:r w:rsidDel="00000000" w:rsidR="00000000" w:rsidRPr="00000000">
        <w:rPr>
          <w:color w:val="000000"/>
          <w:rtl w:val="0"/>
        </w:rPr>
        <w:t xml:space="preserve">Customer Type</w:t>
      </w:r>
    </w:p>
    <w:p w:rsidR="00000000" w:rsidDel="00000000" w:rsidP="00000000" w:rsidRDefault="00000000" w:rsidRPr="00000000" w14:paraId="00000041">
      <w:pPr>
        <w:numPr>
          <w:ilvl w:val="0"/>
          <w:numId w:val="1"/>
        </w:numPr>
        <w:pBdr>
          <w:top w:space="0" w:sz="0" w:val="nil"/>
          <w:left w:space="0" w:sz="0" w:val="nil"/>
          <w:bottom w:space="0" w:sz="0" w:val="nil"/>
          <w:right w:space="0" w:sz="0" w:val="nil"/>
          <w:between w:space="0" w:sz="0" w:val="nil"/>
        </w:pBdr>
        <w:spacing w:after="0" w:lineRule="auto"/>
        <w:ind w:left="720" w:hanging="360"/>
        <w:rPr>
          <w:color w:val="000000"/>
        </w:rPr>
      </w:pPr>
      <w:r w:rsidDel="00000000" w:rsidR="00000000" w:rsidRPr="00000000">
        <w:rPr>
          <w:color w:val="000000"/>
          <w:rtl w:val="0"/>
        </w:rPr>
        <w:t xml:space="preserve">Asset Class</w:t>
      </w:r>
    </w:p>
    <w:p w:rsidR="00000000" w:rsidDel="00000000" w:rsidP="00000000" w:rsidRDefault="00000000" w:rsidRPr="00000000" w14:paraId="00000042">
      <w:pPr>
        <w:numPr>
          <w:ilvl w:val="0"/>
          <w:numId w:val="1"/>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Engagement Size</w:t>
      </w:r>
    </w:p>
    <w:p w:rsidR="00000000" w:rsidDel="00000000" w:rsidP="00000000" w:rsidRDefault="00000000" w:rsidRPr="00000000" w14:paraId="00000043">
      <w:pPr>
        <w:jc w:val="both"/>
        <w:rPr/>
      </w:pPr>
      <w:r w:rsidDel="00000000" w:rsidR="00000000" w:rsidRPr="00000000">
        <w:rPr>
          <w:rtl w:val="0"/>
        </w:rPr>
        <w:t xml:space="preserve">Full details of the four (4) distinct categories and the sub-categories can be found at Attachment 1 – Leasing and Loans Finance DPS Filter Matrix and in DPS Schedule 1 (</w:t>
      </w:r>
      <w:r w:rsidDel="00000000" w:rsidR="00000000" w:rsidRPr="00000000">
        <w:rPr>
          <w:rtl w:val="0"/>
        </w:rPr>
        <w:t xml:space="preserve">Specification</w:t>
      </w:r>
      <w:r w:rsidDel="00000000" w:rsidR="00000000" w:rsidRPr="00000000">
        <w:rPr>
          <w:rtl w:val="0"/>
        </w:rPr>
        <w:t xml:space="preserve">). </w:t>
      </w:r>
    </w:p>
    <w:p w:rsidR="00000000" w:rsidDel="00000000" w:rsidP="00000000" w:rsidRDefault="00000000" w:rsidRPr="00000000" w14:paraId="00000044">
      <w:pPr>
        <w:jc w:val="both"/>
        <w:rPr/>
      </w:pPr>
      <w:r w:rsidDel="00000000" w:rsidR="00000000" w:rsidRPr="00000000">
        <w:rPr>
          <w:rtl w:val="0"/>
        </w:rPr>
      </w:r>
    </w:p>
    <w:p w:rsidR="00000000" w:rsidDel="00000000" w:rsidP="00000000" w:rsidRDefault="00000000" w:rsidRPr="00000000" w14:paraId="00000045">
      <w:pPr>
        <w:spacing w:after="120" w:before="120" w:line="240" w:lineRule="auto"/>
        <w:ind w:hanging="1"/>
        <w:jc w:val="both"/>
        <w:rPr>
          <w:b w:val="1"/>
        </w:rPr>
      </w:pPr>
      <w:r w:rsidDel="00000000" w:rsidR="00000000" w:rsidRPr="00000000">
        <w:rPr>
          <w:b w:val="1"/>
          <w:rtl w:val="0"/>
        </w:rPr>
        <w:t xml:space="preserve">Who are the Customers of the RM6120 – Leasing and Loans Finance DPS Agreement?</w:t>
      </w:r>
    </w:p>
    <w:p w:rsidR="00000000" w:rsidDel="00000000" w:rsidP="00000000" w:rsidRDefault="00000000" w:rsidRPr="00000000" w14:paraId="00000046">
      <w:pPr>
        <w:spacing w:after="120" w:before="120" w:line="240" w:lineRule="auto"/>
        <w:ind w:hanging="1"/>
        <w:jc w:val="both"/>
        <w:rPr/>
      </w:pPr>
      <w:r w:rsidDel="00000000" w:rsidR="00000000" w:rsidRPr="00000000">
        <w:rPr>
          <w:rtl w:val="0"/>
        </w:rPr>
        <w:t xml:space="preserve">The RM6120 – Leasing and Loans Finance DPS Agreement will be available to all central government and wider public sector customers as listed in the Contract Notice, including but not limited to the following: </w:t>
      </w:r>
    </w:p>
    <w:p w:rsidR="00000000" w:rsidDel="00000000" w:rsidP="00000000" w:rsidRDefault="00000000" w:rsidRPr="00000000" w14:paraId="00000047">
      <w:pPr>
        <w:rPr/>
      </w:pPr>
      <w:r w:rsidDel="00000000" w:rsidR="00000000" w:rsidRPr="00000000">
        <w:rPr>
          <w:rtl w:val="0"/>
        </w:rPr>
        <w:t xml:space="preserve">Central Government:</w:t>
      </w:r>
    </w:p>
    <w:p w:rsidR="00000000" w:rsidDel="00000000" w:rsidP="00000000" w:rsidRDefault="00000000" w:rsidRPr="00000000" w14:paraId="00000048">
      <w:pPr>
        <w:rPr/>
      </w:pPr>
      <w:r w:rsidDel="00000000" w:rsidR="00000000" w:rsidRPr="00000000">
        <w:rPr>
          <w:rtl w:val="0"/>
        </w:rPr>
        <w:tab/>
        <w:t xml:space="preserve">- Environment</w:t>
      </w:r>
    </w:p>
    <w:p w:rsidR="00000000" w:rsidDel="00000000" w:rsidP="00000000" w:rsidRDefault="00000000" w:rsidRPr="00000000" w14:paraId="00000049">
      <w:pPr>
        <w:rPr/>
      </w:pPr>
      <w:r w:rsidDel="00000000" w:rsidR="00000000" w:rsidRPr="00000000">
        <w:rPr>
          <w:rtl w:val="0"/>
        </w:rPr>
        <w:tab/>
        <w:t xml:space="preserve">- Defence</w:t>
      </w:r>
    </w:p>
    <w:p w:rsidR="00000000" w:rsidDel="00000000" w:rsidP="00000000" w:rsidRDefault="00000000" w:rsidRPr="00000000" w14:paraId="0000004A">
      <w:pPr>
        <w:rPr/>
      </w:pPr>
      <w:r w:rsidDel="00000000" w:rsidR="00000000" w:rsidRPr="00000000">
        <w:rPr>
          <w:rtl w:val="0"/>
        </w:rPr>
        <w:tab/>
        <w:t xml:space="preserve">- Other Central Government</w:t>
      </w:r>
    </w:p>
    <w:p w:rsidR="00000000" w:rsidDel="00000000" w:rsidP="00000000" w:rsidRDefault="00000000" w:rsidRPr="00000000" w14:paraId="0000004B">
      <w:pPr>
        <w:rPr/>
      </w:pPr>
      <w:r w:rsidDel="00000000" w:rsidR="00000000" w:rsidRPr="00000000">
        <w:rPr>
          <w:rtl w:val="0"/>
        </w:rPr>
        <w:t xml:space="preserve">Wider Public Sector:</w:t>
      </w:r>
    </w:p>
    <w:p w:rsidR="00000000" w:rsidDel="00000000" w:rsidP="00000000" w:rsidRDefault="00000000" w:rsidRPr="00000000" w14:paraId="0000004C">
      <w:pPr>
        <w:rPr/>
      </w:pPr>
      <w:r w:rsidDel="00000000" w:rsidR="00000000" w:rsidRPr="00000000">
        <w:rPr>
          <w:rtl w:val="0"/>
        </w:rPr>
        <w:tab/>
        <w:t xml:space="preserve">- Education</w:t>
      </w:r>
    </w:p>
    <w:p w:rsidR="00000000" w:rsidDel="00000000" w:rsidP="00000000" w:rsidRDefault="00000000" w:rsidRPr="00000000" w14:paraId="0000004D">
      <w:pPr>
        <w:rPr/>
      </w:pPr>
      <w:r w:rsidDel="00000000" w:rsidR="00000000" w:rsidRPr="00000000">
        <w:rPr>
          <w:rtl w:val="0"/>
        </w:rPr>
        <w:tab/>
        <w:t xml:space="preserve">- Fire and Rescue</w:t>
      </w:r>
    </w:p>
    <w:p w:rsidR="00000000" w:rsidDel="00000000" w:rsidP="00000000" w:rsidRDefault="00000000" w:rsidRPr="00000000" w14:paraId="0000004E">
      <w:pPr>
        <w:rPr/>
      </w:pPr>
      <w:r w:rsidDel="00000000" w:rsidR="00000000" w:rsidRPr="00000000">
        <w:rPr>
          <w:rtl w:val="0"/>
        </w:rPr>
        <w:tab/>
        <w:t xml:space="preserve">- Health</w:t>
      </w:r>
    </w:p>
    <w:p w:rsidR="00000000" w:rsidDel="00000000" w:rsidP="00000000" w:rsidRDefault="00000000" w:rsidRPr="00000000" w14:paraId="0000004F">
      <w:pPr>
        <w:rPr/>
      </w:pPr>
      <w:r w:rsidDel="00000000" w:rsidR="00000000" w:rsidRPr="00000000">
        <w:rPr>
          <w:rtl w:val="0"/>
        </w:rPr>
        <w:tab/>
        <w:t xml:space="preserve">- Local Government</w:t>
      </w:r>
    </w:p>
    <w:p w:rsidR="00000000" w:rsidDel="00000000" w:rsidP="00000000" w:rsidRDefault="00000000" w:rsidRPr="00000000" w14:paraId="00000050">
      <w:pPr>
        <w:rPr/>
      </w:pPr>
      <w:r w:rsidDel="00000000" w:rsidR="00000000" w:rsidRPr="00000000">
        <w:rPr>
          <w:rtl w:val="0"/>
        </w:rPr>
        <w:tab/>
        <w:t xml:space="preserve">- Not for Profit (Charitable)</w:t>
      </w:r>
    </w:p>
    <w:p w:rsidR="00000000" w:rsidDel="00000000" w:rsidP="00000000" w:rsidRDefault="00000000" w:rsidRPr="00000000" w14:paraId="00000051">
      <w:pPr>
        <w:rPr/>
      </w:pPr>
      <w:r w:rsidDel="00000000" w:rsidR="00000000" w:rsidRPr="00000000">
        <w:rPr>
          <w:rtl w:val="0"/>
        </w:rPr>
        <w:tab/>
        <w:t xml:space="preserve">- Police</w:t>
      </w:r>
    </w:p>
    <w:p w:rsidR="00000000" w:rsidDel="00000000" w:rsidP="00000000" w:rsidRDefault="00000000" w:rsidRPr="00000000" w14:paraId="00000052">
      <w:pPr>
        <w:rPr/>
      </w:pPr>
      <w:r w:rsidDel="00000000" w:rsidR="00000000" w:rsidRPr="00000000">
        <w:rPr>
          <w:rtl w:val="0"/>
        </w:rPr>
        <w:tab/>
        <w:t xml:space="preserve">- Housing Association</w:t>
      </w:r>
    </w:p>
    <w:p w:rsidR="00000000" w:rsidDel="00000000" w:rsidP="00000000" w:rsidRDefault="00000000" w:rsidRPr="00000000" w14:paraId="00000053">
      <w:pPr>
        <w:rPr/>
      </w:pPr>
      <w:r w:rsidDel="00000000" w:rsidR="00000000" w:rsidRPr="00000000">
        <w:rPr>
          <w:rtl w:val="0"/>
        </w:rPr>
        <w:t xml:space="preserve">Other Wider Public Sector</w:t>
      </w:r>
    </w:p>
    <w:p w:rsidR="00000000" w:rsidDel="00000000" w:rsidP="00000000" w:rsidRDefault="00000000" w:rsidRPr="00000000" w14:paraId="00000054">
      <w:pPr>
        <w:spacing w:after="120" w:before="120" w:line="240" w:lineRule="auto"/>
        <w:ind w:hanging="1"/>
        <w:jc w:val="both"/>
        <w:rPr>
          <w:b w:val="1"/>
        </w:rPr>
      </w:pPr>
      <w:r w:rsidDel="00000000" w:rsidR="00000000" w:rsidRPr="00000000">
        <w:rPr>
          <w:rtl w:val="0"/>
        </w:rPr>
      </w:r>
    </w:p>
    <w:p w:rsidR="00000000" w:rsidDel="00000000" w:rsidP="00000000" w:rsidRDefault="00000000" w:rsidRPr="00000000" w14:paraId="00000055">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56">
      <w:pPr>
        <w:spacing w:after="120" w:before="120" w:line="240" w:lineRule="auto"/>
        <w:ind w:hanging="1"/>
        <w:jc w:val="both"/>
        <w:rPr>
          <w:b w:val="1"/>
        </w:rPr>
      </w:pPr>
      <w:r w:rsidDel="00000000" w:rsidR="00000000" w:rsidRPr="00000000">
        <w:rPr>
          <w:b w:val="1"/>
          <w:rtl w:val="0"/>
        </w:rPr>
        <w:t xml:space="preserve">What are the benefits of the RM6120 – Leasing and Loans Finance DPS Agreement?</w:t>
      </w:r>
    </w:p>
    <w:tbl>
      <w:tblPr>
        <w:tblStyle w:val="Table1"/>
        <w:tblW w:w="93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rHeight w:val="4420" w:hRule="atLeast"/>
          <w:tblHeader w:val="0"/>
        </w:trPr>
        <w:tc>
          <w:tcPr>
            <w:tcMar>
              <w:top w:w="105.0" w:type="dxa"/>
              <w:left w:w="105.0" w:type="dxa"/>
              <w:bottom w:w="105.0" w:type="dxa"/>
              <w:right w:w="105.0" w:type="dxa"/>
            </w:tcMar>
          </w:tcPr>
          <w:p w:rsidR="00000000" w:rsidDel="00000000" w:rsidP="00000000" w:rsidRDefault="00000000" w:rsidRPr="00000000" w14:paraId="00000057">
            <w:pPr>
              <w:numPr>
                <w:ilvl w:val="1"/>
                <w:numId w:val="12"/>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Simpler, quicker process – accessible for both SMEs and other suppliers seeking opportunities to provide services to the public sector.</w:t>
            </w:r>
            <w:r w:rsidDel="00000000" w:rsidR="00000000" w:rsidRPr="00000000">
              <w:rPr>
                <w:rtl w:val="0"/>
              </w:rPr>
            </w:r>
          </w:p>
          <w:p w:rsidR="00000000" w:rsidDel="00000000" w:rsidP="00000000" w:rsidRDefault="00000000" w:rsidRPr="00000000" w14:paraId="00000058">
            <w:pPr>
              <w:numPr>
                <w:ilvl w:val="0"/>
                <w:numId w:val="12"/>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Automated, electronic process – streamlined electronic process.</w:t>
            </w:r>
            <w:r w:rsidDel="00000000" w:rsidR="00000000" w:rsidRPr="00000000">
              <w:rPr>
                <w:rtl w:val="0"/>
              </w:rPr>
            </w:r>
          </w:p>
          <w:p w:rsidR="00000000" w:rsidDel="00000000" w:rsidP="00000000" w:rsidRDefault="00000000" w:rsidRPr="00000000" w14:paraId="00000059">
            <w:pPr>
              <w:numPr>
                <w:ilvl w:val="0"/>
                <w:numId w:val="12"/>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Flexible - new bidders can apply to join at any point.</w:t>
            </w:r>
            <w:r w:rsidDel="00000000" w:rsidR="00000000" w:rsidRPr="00000000">
              <w:rPr>
                <w:rtl w:val="0"/>
              </w:rPr>
            </w:r>
          </w:p>
          <w:p w:rsidR="00000000" w:rsidDel="00000000" w:rsidP="00000000" w:rsidRDefault="00000000" w:rsidRPr="00000000" w14:paraId="0000005A">
            <w:pPr>
              <w:numPr>
                <w:ilvl w:val="0"/>
                <w:numId w:val="12"/>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Choice - increased scope/scale of service offerings and access to public sector business.</w:t>
            </w:r>
            <w:r w:rsidDel="00000000" w:rsidR="00000000" w:rsidRPr="00000000">
              <w:rPr>
                <w:rtl w:val="0"/>
              </w:rPr>
            </w:r>
          </w:p>
          <w:p w:rsidR="00000000" w:rsidDel="00000000" w:rsidP="00000000" w:rsidRDefault="00000000" w:rsidRPr="00000000" w14:paraId="0000005B">
            <w:pPr>
              <w:numPr>
                <w:ilvl w:val="0"/>
                <w:numId w:val="12"/>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Filtering of supplier offering - ensures suppliers receive notifications of competitions that are relevant to their service offering.</w:t>
            </w:r>
            <w:r w:rsidDel="00000000" w:rsidR="00000000" w:rsidRPr="00000000">
              <w:rPr>
                <w:rtl w:val="0"/>
              </w:rPr>
            </w:r>
          </w:p>
          <w:p w:rsidR="00000000" w:rsidDel="00000000" w:rsidP="00000000" w:rsidRDefault="00000000" w:rsidRPr="00000000" w14:paraId="0000005C">
            <w:pPr>
              <w:numPr>
                <w:ilvl w:val="0"/>
                <w:numId w:val="12"/>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Dynamic – Customers can create bespoke specifications, competitions and contracts. </w:t>
            </w:r>
            <w:r w:rsidDel="00000000" w:rsidR="00000000" w:rsidRPr="00000000">
              <w:rPr>
                <w:rtl w:val="0"/>
              </w:rPr>
            </w:r>
          </w:p>
          <w:p w:rsidR="00000000" w:rsidDel="00000000" w:rsidP="00000000" w:rsidRDefault="00000000" w:rsidRPr="00000000" w14:paraId="0000005D">
            <w:pPr>
              <w:numPr>
                <w:ilvl w:val="0"/>
                <w:numId w:val="12"/>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Savings – drives savings through the ‘Call for Competition’ procedure. </w:t>
            </w:r>
            <w:r w:rsidDel="00000000" w:rsidR="00000000" w:rsidRPr="00000000">
              <w:rPr>
                <w:rtl w:val="0"/>
              </w:rPr>
            </w:r>
          </w:p>
          <w:p w:rsidR="00000000" w:rsidDel="00000000" w:rsidP="00000000" w:rsidRDefault="00000000" w:rsidRPr="00000000" w14:paraId="0000005E">
            <w:pPr>
              <w:numPr>
                <w:ilvl w:val="0"/>
                <w:numId w:val="12"/>
              </w:numPr>
              <w:pBdr>
                <w:top w:space="0" w:sz="0" w:val="nil"/>
                <w:left w:space="0" w:sz="0" w:val="nil"/>
                <w:bottom w:space="0" w:sz="0" w:val="nil"/>
                <w:right w:space="0" w:sz="0" w:val="nil"/>
                <w:between w:space="0" w:sz="0" w:val="nil"/>
              </w:pBdr>
              <w:spacing w:after="120" w:before="120" w:lineRule="auto"/>
              <w:ind w:left="888" w:hanging="851"/>
              <w:jc w:val="both"/>
              <w:rPr/>
            </w:pPr>
            <w:r w:rsidDel="00000000" w:rsidR="00000000" w:rsidRPr="00000000">
              <w:rPr>
                <w:color w:val="000000"/>
                <w:rtl w:val="0"/>
              </w:rPr>
              <w:t xml:space="preserve">Efficiencies – reduces Customers costs and process cycle time</w:t>
            </w:r>
          </w:p>
          <w:p w:rsidR="00000000" w:rsidDel="00000000" w:rsidP="00000000" w:rsidRDefault="00000000" w:rsidRPr="00000000" w14:paraId="0000005F">
            <w:pPr>
              <w:numPr>
                <w:ilvl w:val="0"/>
                <w:numId w:val="12"/>
              </w:numPr>
              <w:pBdr>
                <w:top w:space="0" w:sz="0" w:val="nil"/>
                <w:left w:space="0" w:sz="0" w:val="nil"/>
                <w:bottom w:space="0" w:sz="0" w:val="nil"/>
                <w:right w:space="0" w:sz="0" w:val="nil"/>
                <w:between w:space="0" w:sz="0" w:val="nil"/>
              </w:pBdr>
              <w:spacing w:after="120" w:before="120" w:lineRule="auto"/>
              <w:ind w:left="888" w:hanging="851"/>
              <w:jc w:val="both"/>
              <w:rPr>
                <w:u w:val="none"/>
              </w:rPr>
            </w:pPr>
            <w:r w:rsidDel="00000000" w:rsidR="00000000" w:rsidRPr="00000000">
              <w:rPr>
                <w:rtl w:val="0"/>
              </w:rPr>
              <w:t xml:space="preserve">Option to access funding directly from lenders to reduce costs for customer</w:t>
            </w:r>
          </w:p>
          <w:p w:rsidR="00000000" w:rsidDel="00000000" w:rsidP="00000000" w:rsidRDefault="00000000" w:rsidRPr="00000000" w14:paraId="00000060">
            <w:pPr>
              <w:numPr>
                <w:ilvl w:val="0"/>
                <w:numId w:val="12"/>
              </w:numPr>
              <w:pBdr>
                <w:top w:space="0" w:sz="0" w:val="nil"/>
                <w:left w:space="0" w:sz="0" w:val="nil"/>
                <w:bottom w:space="0" w:sz="0" w:val="nil"/>
                <w:right w:space="0" w:sz="0" w:val="nil"/>
                <w:between w:space="0" w:sz="0" w:val="nil"/>
              </w:pBdr>
              <w:spacing w:after="120" w:before="120" w:lineRule="auto"/>
              <w:ind w:left="888" w:hanging="851"/>
              <w:jc w:val="both"/>
              <w:rPr>
                <w:u w:val="none"/>
              </w:rPr>
            </w:pPr>
            <w:r w:rsidDel="00000000" w:rsidR="00000000" w:rsidRPr="00000000">
              <w:rPr>
                <w:rtl w:val="0"/>
              </w:rPr>
              <w:t xml:space="preserve">Option for an appointed Leasing Advisor to run the DPS </w:t>
            </w:r>
            <w:r w:rsidDel="00000000" w:rsidR="00000000" w:rsidRPr="00000000">
              <w:rPr>
                <w:rtl w:val="0"/>
              </w:rPr>
              <w:t xml:space="preserve">further competition to</w:t>
            </w:r>
            <w:r w:rsidDel="00000000" w:rsidR="00000000" w:rsidRPr="00000000">
              <w:rPr>
                <w:rtl w:val="0"/>
              </w:rPr>
              <w:t xml:space="preserve"> save time and resource and for more advantageous outcomes on complex projects.</w:t>
            </w:r>
            <w:r w:rsidDel="00000000" w:rsidR="00000000" w:rsidRPr="00000000">
              <w:rPr>
                <w:rtl w:val="0"/>
              </w:rPr>
            </w:r>
          </w:p>
        </w:tc>
      </w:tr>
    </w:tbl>
    <w:p w:rsidR="00000000" w:rsidDel="00000000" w:rsidP="00000000" w:rsidRDefault="00000000" w:rsidRPr="00000000" w14:paraId="00000061">
      <w:pPr>
        <w:pStyle w:val="Heading2"/>
        <w:ind w:left="851" w:hanging="851"/>
        <w:rPr>
          <w:b w:val="1"/>
          <w:color w:val="000000"/>
        </w:rPr>
      </w:pPr>
      <w:bookmarkStart w:colFirst="0" w:colLast="0" w:name="_heading=h.3dy6vkm" w:id="6"/>
      <w:bookmarkEnd w:id="6"/>
      <w:r w:rsidDel="00000000" w:rsidR="00000000" w:rsidRPr="00000000">
        <w:rPr>
          <w:b w:val="1"/>
          <w:color w:val="000000"/>
          <w:rtl w:val="0"/>
        </w:rPr>
        <w:t xml:space="preserve">1.3 </w:t>
        <w:tab/>
        <w:t xml:space="preserve">The current situation </w:t>
      </w:r>
    </w:p>
    <w:p w:rsidR="00000000" w:rsidDel="00000000" w:rsidP="00000000" w:rsidRDefault="00000000" w:rsidRPr="00000000" w14:paraId="00000062">
      <w:pPr>
        <w:spacing w:after="120" w:before="120" w:line="240" w:lineRule="auto"/>
        <w:jc w:val="both"/>
        <w:rPr/>
      </w:pPr>
      <w:r w:rsidDel="00000000" w:rsidR="00000000" w:rsidRPr="00000000">
        <w:rPr>
          <w:rtl w:val="0"/>
        </w:rPr>
        <w:t xml:space="preserve">This RM6120 – Leasing and Loans Finance DPS Agreement is a new offering from CCS. At present CCS does not have any commercial offerings associated with the provision of funding for Lease and Loans Finance. CCS has an associated framework which provides advisory services, the Leasing Advisory Framework RM6146. Leasing Advisors appointed through the Framework (RM6146) can access the DPS RM6120, to acquire funds, acting as an agent on behalf of a customer.  </w:t>
      </w:r>
      <w:r w:rsidDel="00000000" w:rsidR="00000000" w:rsidRPr="00000000">
        <w:br w:type="page"/>
      </w:r>
      <w:r w:rsidDel="00000000" w:rsidR="00000000" w:rsidRPr="00000000">
        <w:rPr>
          <w:rtl w:val="0"/>
        </w:rPr>
      </w:r>
    </w:p>
    <w:p w:rsidR="00000000" w:rsidDel="00000000" w:rsidP="00000000" w:rsidRDefault="00000000" w:rsidRPr="00000000" w14:paraId="00000063">
      <w:pPr>
        <w:pStyle w:val="Heading1"/>
        <w:numPr>
          <w:ilvl w:val="0"/>
          <w:numId w:val="13"/>
        </w:numPr>
        <w:ind w:left="851" w:hanging="851"/>
        <w:rPr>
          <w:b w:val="1"/>
          <w:color w:val="000000"/>
        </w:rPr>
      </w:pPr>
      <w:bookmarkStart w:colFirst="0" w:colLast="0" w:name="_heading=h.1t3h5sf" w:id="7"/>
      <w:bookmarkEnd w:id="7"/>
      <w:r w:rsidDel="00000000" w:rsidR="00000000" w:rsidRPr="00000000">
        <w:rPr>
          <w:b w:val="1"/>
          <w:color w:val="000000"/>
          <w:rtl w:val="0"/>
        </w:rPr>
        <w:t xml:space="preserve">Specification (Schedule 1 Part A Goods and/or Services)</w:t>
      </w:r>
    </w:p>
    <w:p w:rsidR="00000000" w:rsidDel="00000000" w:rsidP="00000000" w:rsidRDefault="00000000" w:rsidRPr="00000000" w14:paraId="00000064">
      <w:pPr>
        <w:pStyle w:val="Heading2"/>
        <w:ind w:left="851" w:hanging="851"/>
        <w:rPr/>
      </w:pPr>
      <w:bookmarkStart w:colFirst="0" w:colLast="0" w:name="_heading=h.4d34og8" w:id="8"/>
      <w:bookmarkEnd w:id="8"/>
      <w:r w:rsidDel="00000000" w:rsidR="00000000" w:rsidRPr="00000000">
        <w:rPr>
          <w:rtl w:val="0"/>
        </w:rPr>
      </w:r>
    </w:p>
    <w:p w:rsidR="00000000" w:rsidDel="00000000" w:rsidP="00000000" w:rsidRDefault="00000000" w:rsidRPr="00000000" w14:paraId="00000065">
      <w:pPr>
        <w:pStyle w:val="Heading2"/>
        <w:ind w:left="851" w:hanging="851"/>
        <w:rPr>
          <w:b w:val="1"/>
          <w:color w:val="000000"/>
        </w:rPr>
      </w:pPr>
      <w:bookmarkStart w:colFirst="0" w:colLast="0" w:name="_heading=h.i43iytjgm650" w:id="9"/>
      <w:bookmarkEnd w:id="9"/>
      <w:r w:rsidDel="00000000" w:rsidR="00000000" w:rsidRPr="00000000">
        <w:rPr>
          <w:b w:val="1"/>
          <w:color w:val="000000"/>
          <w:rtl w:val="0"/>
        </w:rPr>
        <w:t xml:space="preserve">2.1 </w:t>
        <w:tab/>
        <w:t xml:space="preserve">Our priorities</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8" w:before="200" w:line="240" w:lineRule="auto"/>
        <w:ind w:left="0" w:right="0" w:firstLine="0"/>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The key priority of this agreement is to deliver a commercial route to a comprehensive range of funding options from a diverse choice of Suppliers. CCS’s priority is to promote best practice of Leasing and </w:t>
      </w:r>
      <w:r w:rsidDel="00000000" w:rsidR="00000000" w:rsidRPr="00000000">
        <w:rPr>
          <w:i w:val="0"/>
          <w:smallCaps w:val="0"/>
          <w:strike w:val="0"/>
          <w:color w:val="000000"/>
          <w:u w:val="none"/>
          <w:shd w:fill="auto" w:val="clear"/>
          <w:vertAlign w:val="baseline"/>
          <w:rtl w:val="0"/>
        </w:rPr>
        <w:t xml:space="preserve">Loan</w:t>
      </w:r>
      <w:r w:rsidDel="00000000" w:rsidR="00000000" w:rsidRPr="00000000">
        <w:rPr>
          <w:rtl w:val="0"/>
        </w:rPr>
        <w:t xml:space="preserve">s</w:t>
      </w:r>
      <w:r w:rsidDel="00000000" w:rsidR="00000000" w:rsidRPr="00000000">
        <w:rPr>
          <w:i w:val="0"/>
          <w:smallCaps w:val="0"/>
          <w:strike w:val="0"/>
          <w:color w:val="000000"/>
          <w:u w:val="none"/>
          <w:shd w:fill="auto" w:val="clear"/>
          <w:vertAlign w:val="baseline"/>
          <w:rtl w:val="0"/>
        </w:rPr>
        <w:t xml:space="preserve"> Finance across the public sector, achieving best value for money for the public sector which focuses on the cost of an asset over the lifetime of the agreement.</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8" w:before="200" w:line="240" w:lineRule="auto"/>
        <w:ind w:left="0" w:right="0" w:firstLine="0"/>
        <w:jc w:val="both"/>
        <w:rPr>
          <w:sz w:val="26"/>
          <w:szCs w:val="26"/>
        </w:rPr>
      </w:pPr>
      <w:r w:rsidDel="00000000" w:rsidR="00000000" w:rsidRPr="00000000">
        <w:rPr>
          <w:rtl w:val="0"/>
        </w:rPr>
      </w:r>
    </w:p>
    <w:p w:rsidR="00000000" w:rsidDel="00000000" w:rsidP="00000000" w:rsidRDefault="00000000" w:rsidRPr="00000000" w14:paraId="00000068">
      <w:pPr>
        <w:pStyle w:val="Heading2"/>
        <w:ind w:left="851"/>
        <w:rPr/>
      </w:pPr>
      <w:bookmarkStart w:colFirst="0" w:colLast="0" w:name="_heading=h.7bed83o5ozl0" w:id="10"/>
      <w:bookmarkEnd w:id="10"/>
      <w:r w:rsidDel="00000000" w:rsidR="00000000" w:rsidRPr="00000000">
        <w:rPr>
          <w:rtl w:val="0"/>
        </w:rPr>
        <w:t xml:space="preserve">2.2 </w:t>
        <w:tab/>
        <w:t xml:space="preserve">Scope </w:t>
      </w:r>
    </w:p>
    <w:p w:rsidR="00000000" w:rsidDel="00000000" w:rsidP="00000000" w:rsidRDefault="00000000" w:rsidRPr="00000000" w14:paraId="00000069">
      <w:pPr>
        <w:spacing w:after="200" w:before="0" w:lineRule="auto"/>
        <w:ind w:left="708.6614173228347" w:firstLine="0"/>
        <w:jc w:val="both"/>
        <w:rPr>
          <w:rFonts w:ascii="Arial" w:cs="Arial" w:eastAsia="Arial" w:hAnsi="Arial"/>
          <w:sz w:val="26"/>
          <w:szCs w:val="26"/>
        </w:rPr>
      </w:pPr>
      <w:r w:rsidDel="00000000" w:rsidR="00000000" w:rsidRPr="00000000">
        <w:rPr>
          <w:rtl w:val="0"/>
        </w:rPr>
        <w:t xml:space="preserve">2.2.1. RM6120 Leasing and Loans Finance DPS will offer funding for assets which have been, or will be, acquired through either a leasing or loan arrangement. The DPS will feature four distinct Filter Categories. </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Funding Type</w:t>
      </w:r>
    </w:p>
    <w:p w:rsidR="00000000" w:rsidDel="00000000" w:rsidP="00000000" w:rsidRDefault="00000000" w:rsidRPr="00000000" w14:paraId="0000006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Customer Type</w:t>
      </w:r>
    </w:p>
    <w:p w:rsidR="00000000" w:rsidDel="00000000" w:rsidP="00000000" w:rsidRDefault="00000000" w:rsidRPr="00000000" w14:paraId="0000006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Asset Class</w:t>
      </w:r>
    </w:p>
    <w:p w:rsidR="00000000" w:rsidDel="00000000" w:rsidP="00000000" w:rsidRDefault="00000000" w:rsidRPr="00000000" w14:paraId="0000006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Engagement Size</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20" w:right="0" w:firstLine="0"/>
        <w:jc w:val="both"/>
        <w:rPr>
          <w:sz w:val="26"/>
          <w:szCs w:val="26"/>
        </w:rPr>
      </w:pPr>
      <w:r w:rsidDel="00000000" w:rsidR="00000000" w:rsidRPr="00000000">
        <w:rPr>
          <w:i w:val="0"/>
          <w:smallCaps w:val="0"/>
          <w:strike w:val="0"/>
          <w:color w:val="000000"/>
          <w:u w:val="none"/>
          <w:shd w:fill="auto" w:val="clear"/>
          <w:vertAlign w:val="baseline"/>
          <w:rtl w:val="0"/>
        </w:rPr>
        <w:t xml:space="preserve">2.2.2. The Supplier shall offer services directly to Contracting Authorities and/or to the Leasing Advisors appointed to act as Agents on behalf of Contracting Authorities.</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08" w:right="0" w:firstLine="0"/>
        <w:jc w:val="both"/>
        <w:rPr/>
      </w:pPr>
      <w:r w:rsidDel="00000000" w:rsidR="00000000" w:rsidRPr="00000000">
        <w:rPr>
          <w:i w:val="0"/>
          <w:smallCaps w:val="0"/>
          <w:strike w:val="0"/>
          <w:color w:val="000000"/>
          <w:u w:val="none"/>
          <w:shd w:fill="auto" w:val="clear"/>
          <w:vertAlign w:val="baseline"/>
          <w:rtl w:val="0"/>
        </w:rPr>
        <w:t xml:space="preserve">2.2.3. The Supplier shall provide the most appropriate and most economically advantageous option for the funding required by the Buyer or Leasing Advisor and where applicable comply with all current legislation.</w:t>
      </w:r>
      <w:r w:rsidDel="00000000" w:rsidR="00000000" w:rsidRPr="00000000">
        <w:rPr>
          <w:rtl w:val="0"/>
        </w:rPr>
      </w:r>
    </w:p>
    <w:p w:rsidR="00000000" w:rsidDel="00000000" w:rsidP="00000000" w:rsidRDefault="00000000" w:rsidRPr="00000000" w14:paraId="00000070">
      <w:pPr>
        <w:pStyle w:val="Heading2"/>
        <w:spacing w:after="1" w:lineRule="auto"/>
        <w:jc w:val="both"/>
        <w:rPr/>
      </w:pPr>
      <w:bookmarkStart w:colFirst="0" w:colLast="0" w:name="_heading=h.ppugdb74p954" w:id="11"/>
      <w:bookmarkEnd w:id="11"/>
      <w:r w:rsidDel="00000000" w:rsidR="00000000" w:rsidRPr="00000000">
        <w:rPr>
          <w:rtl w:val="0"/>
        </w:rPr>
        <w:t xml:space="preserve">2.3. Key Service Requirements </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5" w:right="0" w:firstLine="0"/>
        <w:jc w:val="left"/>
        <w:rPr>
          <w:i w:val="0"/>
          <w:smallCaps w:val="0"/>
          <w:strike w:val="0"/>
          <w:color w:val="000000"/>
          <w:sz w:val="26"/>
          <w:szCs w:val="26"/>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The Supplier must offer one or more options for each of the four Filter Categories. There is no limit to the number of options the Supplier can choose to offer under each of the Filter Categories. </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8" w:before="0" w:line="240" w:lineRule="auto"/>
        <w:ind w:left="720" w:right="0" w:hanging="698"/>
        <w:jc w:val="both"/>
        <w:rPr>
          <w:i w:val="0"/>
          <w:smallCaps w:val="0"/>
          <w:strike w:val="0"/>
          <w:color w:val="000000"/>
          <w:sz w:val="26"/>
          <w:szCs w:val="26"/>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8" w:before="0" w:line="240" w:lineRule="auto"/>
        <w:ind w:left="708.6614173228347" w:right="0" w:firstLine="0"/>
        <w:jc w:val="both"/>
        <w:rPr>
          <w:sz w:val="26"/>
          <w:szCs w:val="26"/>
        </w:rPr>
      </w:pPr>
      <w:r w:rsidDel="00000000" w:rsidR="00000000" w:rsidRPr="00000000">
        <w:rPr>
          <w:i w:val="0"/>
          <w:smallCaps w:val="0"/>
          <w:strike w:val="0"/>
          <w:color w:val="000000"/>
          <w:u w:val="none"/>
          <w:shd w:fill="auto" w:val="clear"/>
          <w:vertAlign w:val="baseline"/>
          <w:rtl w:val="0"/>
        </w:rPr>
        <w:t xml:space="preserve">2.3.1. Filter Category one: Funding Type</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8" w:before="0" w:line="240" w:lineRule="auto"/>
        <w:ind w:left="708.6614173228347" w:right="0" w:firstLine="0"/>
        <w:jc w:val="both"/>
        <w:rPr>
          <w:sz w:val="26"/>
          <w:szCs w:val="26"/>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8" w:before="0" w:line="240" w:lineRule="auto"/>
        <w:ind w:left="720" w:right="0" w:hanging="11.338582677165334"/>
        <w:jc w:val="both"/>
        <w:rPr>
          <w:sz w:val="26"/>
          <w:szCs w:val="26"/>
        </w:rPr>
      </w:pPr>
      <w:r w:rsidDel="00000000" w:rsidR="00000000" w:rsidRPr="00000000">
        <w:rPr>
          <w:i w:val="0"/>
          <w:smallCaps w:val="0"/>
          <w:strike w:val="0"/>
          <w:color w:val="000000"/>
          <w:u w:val="none"/>
          <w:shd w:fill="auto" w:val="clear"/>
          <w:vertAlign w:val="baseline"/>
          <w:rtl w:val="0"/>
        </w:rPr>
        <w:t xml:space="preserve">The Supplier must offer one or more of the arrangements listed:</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8" w:before="0" w:line="240" w:lineRule="auto"/>
        <w:ind w:left="720" w:right="0" w:hanging="698"/>
        <w:jc w:val="both"/>
        <w:rPr>
          <w:sz w:val="26"/>
          <w:szCs w:val="26"/>
        </w:rPr>
      </w:pP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Hire Purchase (HP)</w:t>
      </w:r>
      <w:r w:rsidDel="00000000" w:rsidR="00000000" w:rsidRPr="00000000">
        <w:rPr>
          <w:i w:val="0"/>
          <w:smallCaps w:val="0"/>
          <w:strike w:val="0"/>
          <w:color w:val="0b0c0c"/>
          <w:u w:val="none"/>
          <w:shd w:fill="auto" w:val="clear"/>
          <w:vertAlign w:val="baseline"/>
          <w:rtl w:val="0"/>
        </w:rPr>
        <w:t xml:space="preserve"> – an arrangement to acquire an asset where the Buyer will pay an initial deposit followed by instalments of payments over an agreed period of time. The Buyer repays the balance of the price of the asset plus interest over a period of time; these instalments are known as Hire Charges. The Buyer will become the owner of the asset at the end of the agreement providing all Hire Charges have been paid.</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Finance Lease - the Buyer will pay rental charges to the Supplier for the term of the arrangement. A primary lease period will be agreed at the outset. The rental charges paid during the primary lease period will cover the original cost of the asset. The Supplier is the legal owner of the asset for the duration of the lease.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i w:val="0"/>
          <w:smallCaps w:val="0"/>
          <w:strike w:val="0"/>
          <w:color w:val="000000"/>
          <w:sz w:val="26"/>
          <w:szCs w:val="26"/>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There will be three options for how to proceed at the end of the primary lease period:</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Option 1: The lease period can be extended for successive periods of twelve months, provided that the Buyer has met all payment obligations. Rental charges paid during the secondary rental period should be nominal as the original cost of the asset has been paid for during the primary lease period. The leasing of the Equipment through extension periods should not exceed the expiry of the useful economic life of the Equipment.</w:t>
      </w:r>
    </w:p>
    <w:p w:rsidR="00000000" w:rsidDel="00000000" w:rsidP="00000000" w:rsidRDefault="00000000" w:rsidRPr="00000000" w14:paraId="0000007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Option 2: The Buyer sells the asset, acting on behalf of the Supplier. In this instance the Buyer may be entitled to a rebate of Lease rentals.</w:t>
      </w:r>
    </w:p>
    <w:p w:rsidR="00000000" w:rsidDel="00000000" w:rsidP="00000000" w:rsidRDefault="00000000" w:rsidRPr="00000000" w14:paraId="0000007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Option 3: The asset is returned to the Supplier to be sold. In this instance the Buyer may be entitled to a rebate of Lease rentals.</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Operating Lease - the Buyer will pay rental charges to the Supplier for the term of the arrangement. The Supplier permits the Buyer to use the asset for a period of time, which is shorter than the economic life of the asset. The Supplier is the legal owner of the asset for the duration of the lease and will retain the asset when the agreement expires.</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Sale and Leaseback - an arrangement where an asset can be sold and the asset can then be leased back from the purchaser by the previous owner. If a Supplier chooses to offer Sale and Leaseback as a service through the DPS, they must also choose to offer Operating Lease and/or Finance Lease as an additional Funding Type. This is necessary to complete the Leaseback of this arrangement. If Sale and Leaseback is selected for Filter Category one: Funding Type, the user must also select from a sub-level filter which will offer two options, Operating Lease and Finance Lease. If an Operating Lease is selected, the return conditions applicable to the Asset Class selected would also apply (see 2.3.3. for further details).</w:t>
      </w:r>
    </w:p>
    <w:p w:rsidR="00000000" w:rsidDel="00000000" w:rsidP="00000000" w:rsidRDefault="00000000" w:rsidRPr="00000000" w14:paraId="0000007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Secured Loan - a secured loan is a loan in which the Buyer pledges the asset as collateral for the loan, which then becomes a secured debt owed to the creditor who provides the loan.</w:t>
      </w:r>
    </w:p>
    <w:p w:rsidR="00000000" w:rsidDel="00000000" w:rsidP="00000000" w:rsidRDefault="00000000" w:rsidRPr="00000000" w14:paraId="00000080">
      <w:pPr>
        <w:rPr>
          <w:sz w:val="26"/>
          <w:szCs w:val="26"/>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10.999999999999943"/>
        <w:jc w:val="both"/>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The selection made by the Buyer or Leasing Advisor for Filter Category one: Funding Type will determine the lease schedule added to the call-off contract. There is a DPS Order Schedule for each Funding Type. The corresponding schedule must be used in the call off agreement:</w:t>
      </w:r>
    </w:p>
    <w:p w:rsidR="00000000" w:rsidDel="00000000" w:rsidP="00000000" w:rsidRDefault="00000000" w:rsidRPr="00000000" w14:paraId="0000008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418" w:right="0" w:hanging="360"/>
        <w:jc w:val="both"/>
        <w:rPr>
          <w:rFonts w:ascii="Arial" w:cs="Arial" w:eastAsia="Arial" w:hAnsi="Arial"/>
          <w:sz w:val="26"/>
          <w:szCs w:val="26"/>
        </w:rPr>
      </w:pPr>
      <w:r w:rsidDel="00000000" w:rsidR="00000000" w:rsidRPr="00000000">
        <w:rPr>
          <w:i w:val="0"/>
          <w:smallCaps w:val="0"/>
          <w:strike w:val="0"/>
          <w:color w:val="000000"/>
          <w:u w:val="none"/>
          <w:shd w:fill="auto" w:val="clear"/>
          <w:vertAlign w:val="baseline"/>
          <w:rtl w:val="0"/>
        </w:rPr>
        <w:t xml:space="preserve">DPS Order Schedule 24 - Hire Purchase Terms</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DPS Order Schedule 25 - Finance Lease Terms</w:t>
      </w:r>
    </w:p>
    <w:p w:rsidR="00000000" w:rsidDel="00000000" w:rsidP="00000000" w:rsidRDefault="00000000" w:rsidRPr="00000000" w14:paraId="0000008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DPS Order Schedule 26 - Operating Lease Terms</w:t>
      </w:r>
    </w:p>
    <w:p w:rsidR="00000000" w:rsidDel="00000000" w:rsidP="00000000" w:rsidRDefault="00000000" w:rsidRPr="00000000" w14:paraId="0000008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DPS Order Schedule 27 - Sale Terms (to complete a Sale and Leaseback this schedule will be supplemented by either DPS Order Schedule 25 - Finance Lease Terms or DPS Order Schedule 26 - Operating Lease Terms, depending on the Lease arrangement selected by the Buyer or Leasing Advisor. If an Operating Lease is selected, return conditions will also apply, see 2.3.3 for further details)</w:t>
      </w:r>
    </w:p>
    <w:p w:rsidR="00000000" w:rsidDel="00000000" w:rsidP="00000000" w:rsidRDefault="00000000" w:rsidRPr="00000000" w14:paraId="0000008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DPS Order Schedule 28 - Loan Terms</w:t>
      </w:r>
    </w:p>
    <w:p w:rsidR="00000000" w:rsidDel="00000000" w:rsidP="00000000" w:rsidRDefault="00000000" w:rsidRPr="00000000" w14:paraId="00000087">
      <w:pPr>
        <w:rPr>
          <w:sz w:val="26"/>
          <w:szCs w:val="26"/>
        </w:rPr>
      </w:pPr>
      <w:r w:rsidDel="00000000" w:rsidR="00000000" w:rsidRPr="00000000">
        <w:rPr>
          <w:rtl w:val="0"/>
        </w:rPr>
      </w:r>
    </w:p>
    <w:p w:rsidR="00000000" w:rsidDel="00000000" w:rsidP="00000000" w:rsidRDefault="00000000" w:rsidRPr="00000000" w14:paraId="00000088">
      <w:pPr>
        <w:spacing w:after="1" w:before="0" w:lineRule="auto"/>
        <w:ind w:left="720" w:firstLine="0"/>
        <w:jc w:val="both"/>
        <w:rPr>
          <w:sz w:val="26"/>
          <w:szCs w:val="26"/>
        </w:rPr>
      </w:pPr>
      <w:r w:rsidDel="00000000" w:rsidR="00000000" w:rsidRPr="00000000">
        <w:rPr>
          <w:b w:val="0"/>
          <w:rtl w:val="0"/>
        </w:rPr>
        <w:t xml:space="preserve">2.3.2. Filter Category two: Customer Type</w:t>
      </w:r>
      <w:r w:rsidDel="00000000" w:rsidR="00000000" w:rsidRPr="00000000">
        <w:rPr>
          <w:rtl w:val="0"/>
        </w:rPr>
      </w:r>
    </w:p>
    <w:p w:rsidR="00000000" w:rsidDel="00000000" w:rsidP="00000000" w:rsidRDefault="00000000" w:rsidRPr="00000000" w14:paraId="00000089">
      <w:pPr>
        <w:spacing w:after="1" w:before="200" w:lineRule="auto"/>
        <w:ind w:left="715" w:firstLine="0"/>
        <w:jc w:val="both"/>
        <w:rPr>
          <w:sz w:val="26"/>
          <w:szCs w:val="26"/>
        </w:rPr>
      </w:pPr>
      <w:r w:rsidDel="00000000" w:rsidR="00000000" w:rsidRPr="00000000">
        <w:rPr>
          <w:b w:val="0"/>
          <w:rtl w:val="0"/>
        </w:rPr>
        <w:t xml:space="preserve">The Supplier shall offer to provide funding to one or more of the customer groups listed: </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Central Government</w:t>
      </w:r>
    </w:p>
    <w:p w:rsidR="00000000" w:rsidDel="00000000" w:rsidP="00000000" w:rsidRDefault="00000000" w:rsidRPr="00000000" w14:paraId="0000008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Ministry of Defence</w:t>
      </w:r>
    </w:p>
    <w:p w:rsidR="00000000" w:rsidDel="00000000" w:rsidP="00000000" w:rsidRDefault="00000000" w:rsidRPr="00000000" w14:paraId="0000008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Local Authorities</w:t>
      </w:r>
    </w:p>
    <w:p w:rsidR="00000000" w:rsidDel="00000000" w:rsidP="00000000" w:rsidRDefault="00000000" w:rsidRPr="00000000" w14:paraId="0000008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Health</w:t>
      </w:r>
    </w:p>
    <w:p w:rsidR="00000000" w:rsidDel="00000000" w:rsidP="00000000" w:rsidRDefault="00000000" w:rsidRPr="00000000" w14:paraId="0000008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Education</w:t>
      </w:r>
    </w:p>
    <w:p w:rsidR="00000000" w:rsidDel="00000000" w:rsidP="00000000" w:rsidRDefault="00000000" w:rsidRPr="00000000" w14:paraId="0000008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8"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Other - such as Charities, VCSE’s etc</w:t>
      </w:r>
    </w:p>
    <w:p w:rsidR="00000000" w:rsidDel="00000000" w:rsidP="00000000" w:rsidRDefault="00000000" w:rsidRPr="00000000" w14:paraId="00000090">
      <w:pPr>
        <w:rPr>
          <w:sz w:val="26"/>
          <w:szCs w:val="26"/>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8" w:before="0" w:line="240" w:lineRule="auto"/>
        <w:ind w:left="720" w:right="0" w:hanging="11.338582677165334"/>
        <w:jc w:val="left"/>
        <w:rPr>
          <w:i w:val="0"/>
          <w:smallCaps w:val="0"/>
          <w:strike w:val="0"/>
          <w:color w:val="000000"/>
          <w:sz w:val="26"/>
          <w:szCs w:val="26"/>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2.3.3. Filter Category three: Asset Class</w:t>
      </w:r>
      <w:r w:rsidDel="00000000" w:rsidR="00000000" w:rsidRPr="00000000">
        <w:rPr>
          <w:rtl w:val="0"/>
        </w:rPr>
      </w:r>
    </w:p>
    <w:p w:rsidR="00000000" w:rsidDel="00000000" w:rsidP="00000000" w:rsidRDefault="00000000" w:rsidRPr="00000000" w14:paraId="00000092">
      <w:pPr>
        <w:rPr>
          <w:sz w:val="26"/>
          <w:szCs w:val="26"/>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8" w:before="0" w:line="240" w:lineRule="auto"/>
        <w:ind w:left="720" w:right="0" w:firstLine="0"/>
        <w:jc w:val="left"/>
        <w:rPr>
          <w:sz w:val="26"/>
          <w:szCs w:val="26"/>
        </w:rPr>
      </w:pPr>
      <w:r w:rsidDel="00000000" w:rsidR="00000000" w:rsidRPr="00000000">
        <w:rPr>
          <w:i w:val="0"/>
          <w:smallCaps w:val="0"/>
          <w:strike w:val="0"/>
          <w:color w:val="000000"/>
          <w:u w:val="none"/>
          <w:shd w:fill="auto" w:val="clear"/>
          <w:vertAlign w:val="baseline"/>
          <w:rtl w:val="0"/>
        </w:rPr>
        <w:t xml:space="preserve">The asset the Buyer is requesting funding for the acquisition of will fall into one of the thirteen asset classes listed below. The Supplier shall offer to provide funding for one or more of the asset classes listed:</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Manufacturing and Production Equipment</w:t>
      </w:r>
    </w:p>
    <w:p w:rsidR="00000000" w:rsidDel="00000000" w:rsidP="00000000" w:rsidRDefault="00000000" w:rsidRPr="00000000" w14:paraId="0000009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Construction Equipment</w:t>
      </w:r>
    </w:p>
    <w:p w:rsidR="00000000" w:rsidDel="00000000" w:rsidP="00000000" w:rsidRDefault="00000000" w:rsidRPr="00000000" w14:paraId="0000009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Energy Equipment, Heating Ventilation &amp; Air Conditioning (HVAC) and Lighting</w:t>
      </w:r>
    </w:p>
    <w:p w:rsidR="00000000" w:rsidDel="00000000" w:rsidP="00000000" w:rsidRDefault="00000000" w:rsidRPr="00000000" w14:paraId="0000009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Plant &amp; Heavy Machinery</w:t>
      </w:r>
    </w:p>
    <w:p w:rsidR="00000000" w:rsidDel="00000000" w:rsidP="00000000" w:rsidRDefault="00000000" w:rsidRPr="00000000" w14:paraId="0000009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Transportation Equipment</w:t>
      </w:r>
    </w:p>
    <w:p w:rsidR="00000000" w:rsidDel="00000000" w:rsidP="00000000" w:rsidRDefault="00000000" w:rsidRPr="00000000" w14:paraId="0000009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Refuse Trucks and Equipment</w:t>
      </w:r>
    </w:p>
    <w:p w:rsidR="00000000" w:rsidDel="00000000" w:rsidP="00000000" w:rsidRDefault="00000000" w:rsidRPr="00000000" w14:paraId="0000009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Communications Equipment</w:t>
      </w:r>
    </w:p>
    <w:p w:rsidR="00000000" w:rsidDel="00000000" w:rsidP="00000000" w:rsidRDefault="00000000" w:rsidRPr="00000000" w14:paraId="0000009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ICT and Technology</w:t>
      </w:r>
    </w:p>
    <w:p w:rsidR="00000000" w:rsidDel="00000000" w:rsidP="00000000" w:rsidRDefault="00000000" w:rsidRPr="00000000" w14:paraId="0000009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Audio Visual Equipment</w:t>
      </w:r>
    </w:p>
    <w:p w:rsidR="00000000" w:rsidDel="00000000" w:rsidP="00000000" w:rsidRDefault="00000000" w:rsidRPr="00000000" w14:paraId="0000009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Office Furniture and Equipment</w:t>
      </w:r>
    </w:p>
    <w:p w:rsidR="00000000" w:rsidDel="00000000" w:rsidP="00000000" w:rsidRDefault="00000000" w:rsidRPr="00000000" w14:paraId="0000009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Medical Equipment (Portable &amp; non-portable)</w:t>
      </w:r>
    </w:p>
    <w:p w:rsidR="00000000" w:rsidDel="00000000" w:rsidP="00000000" w:rsidRDefault="00000000" w:rsidRPr="00000000" w14:paraId="0000009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Fitness Equipment including gym, synthetic sports pitches</w:t>
      </w:r>
    </w:p>
    <w:p w:rsidR="00000000" w:rsidDel="00000000" w:rsidP="00000000" w:rsidRDefault="00000000" w:rsidRPr="00000000" w14:paraId="000000A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8"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Other </w:t>
      </w:r>
    </w:p>
    <w:p w:rsidR="00000000" w:rsidDel="00000000" w:rsidP="00000000" w:rsidRDefault="00000000" w:rsidRPr="00000000" w14:paraId="000000A1">
      <w:pPr>
        <w:rPr>
          <w:sz w:val="26"/>
          <w:szCs w:val="26"/>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10.999999999999943"/>
        <w:jc w:val="both"/>
        <w:rPr>
          <w:sz w:val="26"/>
          <w:szCs w:val="26"/>
        </w:rPr>
      </w:pPr>
      <w:r w:rsidDel="00000000" w:rsidR="00000000" w:rsidRPr="00000000">
        <w:rPr>
          <w:i w:val="0"/>
          <w:smallCaps w:val="0"/>
          <w:strike w:val="0"/>
          <w:color w:val="000000"/>
          <w:u w:val="none"/>
          <w:shd w:fill="auto" w:val="clear"/>
          <w:vertAlign w:val="baseline"/>
          <w:rtl w:val="0"/>
        </w:rPr>
        <w:t xml:space="preserve">If the Buyer or Leasing Advisor has selected an Operating Lease as the Funding Type, the selection made by the Buyer or Leasing Advisor for Filter Category three: Asset Class will determine the return </w:t>
      </w:r>
      <w:r w:rsidDel="00000000" w:rsidR="00000000" w:rsidRPr="00000000">
        <w:rPr>
          <w:i w:val="0"/>
          <w:smallCaps w:val="0"/>
          <w:strike w:val="0"/>
          <w:color w:val="000000"/>
          <w:u w:val="none"/>
          <w:shd w:fill="auto" w:val="clear"/>
          <w:vertAlign w:val="baseline"/>
          <w:rtl w:val="0"/>
        </w:rPr>
        <w:t xml:space="preserve">conditions schedule added</w:t>
      </w:r>
      <w:r w:rsidDel="00000000" w:rsidR="00000000" w:rsidRPr="00000000">
        <w:rPr>
          <w:i w:val="0"/>
          <w:smallCaps w:val="0"/>
          <w:strike w:val="0"/>
          <w:color w:val="000000"/>
          <w:u w:val="none"/>
          <w:shd w:fill="auto" w:val="clear"/>
          <w:vertAlign w:val="baseline"/>
          <w:rtl w:val="0"/>
        </w:rPr>
        <w:t xml:space="preserve"> to the call-off contract. (If the Buyer or Leasing Advisor has selected any Funding Type other than Operating Lease, there will not be a requirement for a Return Condition Schedule.) There is a DPS Order Schedule for each Asset Class. The corresponding schedule must be used in the call off agreement for an Operational Lease:</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DPS Order Schedule 29 - </w:t>
      </w:r>
      <w:r w:rsidDel="00000000" w:rsidR="00000000" w:rsidRPr="00000000">
        <w:rPr>
          <w:i w:val="0"/>
          <w:smallCaps w:val="0"/>
          <w:strike w:val="0"/>
          <w:color w:val="000000"/>
          <w:highlight w:val="white"/>
          <w:u w:val="none"/>
          <w:vertAlign w:val="baseline"/>
          <w:rtl w:val="0"/>
        </w:rPr>
        <w:t xml:space="preserve">Return Conditions for Manufacturing and Production Equipment</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DPS Order Schedule 30 - </w:t>
      </w:r>
      <w:r w:rsidDel="00000000" w:rsidR="00000000" w:rsidRPr="00000000">
        <w:rPr>
          <w:i w:val="0"/>
          <w:smallCaps w:val="0"/>
          <w:strike w:val="0"/>
          <w:color w:val="000000"/>
          <w:highlight w:val="white"/>
          <w:u w:val="none"/>
          <w:vertAlign w:val="baseline"/>
          <w:rtl w:val="0"/>
        </w:rPr>
        <w:t xml:space="preserve">Return Conditions for Construction Equipment </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DPS Order Schedule 31 - </w:t>
      </w:r>
      <w:r w:rsidDel="00000000" w:rsidR="00000000" w:rsidRPr="00000000">
        <w:rPr>
          <w:i w:val="0"/>
          <w:smallCaps w:val="0"/>
          <w:strike w:val="0"/>
          <w:color w:val="000000"/>
          <w:highlight w:val="white"/>
          <w:u w:val="none"/>
          <w:vertAlign w:val="baseline"/>
          <w:rtl w:val="0"/>
        </w:rPr>
        <w:t xml:space="preserve">Return Conditions for Energy Equipment, HVAC and Lighting</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DPS Order Schedule 32 - </w:t>
      </w:r>
      <w:r w:rsidDel="00000000" w:rsidR="00000000" w:rsidRPr="00000000">
        <w:rPr>
          <w:i w:val="0"/>
          <w:smallCaps w:val="0"/>
          <w:strike w:val="0"/>
          <w:color w:val="000000"/>
          <w:highlight w:val="white"/>
          <w:u w:val="none"/>
          <w:vertAlign w:val="baseline"/>
          <w:rtl w:val="0"/>
        </w:rPr>
        <w:t xml:space="preserve">Return Conditions for Plant and Heavy Machinery</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DPS Order Schedule 33 - </w:t>
      </w:r>
      <w:r w:rsidDel="00000000" w:rsidR="00000000" w:rsidRPr="00000000">
        <w:rPr>
          <w:i w:val="0"/>
          <w:smallCaps w:val="0"/>
          <w:strike w:val="0"/>
          <w:color w:val="000000"/>
          <w:highlight w:val="white"/>
          <w:u w:val="none"/>
          <w:vertAlign w:val="baseline"/>
          <w:rtl w:val="0"/>
        </w:rPr>
        <w:t xml:space="preserve">Return Conditions for Transportation Equipment</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DPS Order Schedule 34 - </w:t>
      </w:r>
      <w:r w:rsidDel="00000000" w:rsidR="00000000" w:rsidRPr="00000000">
        <w:rPr>
          <w:i w:val="0"/>
          <w:smallCaps w:val="0"/>
          <w:strike w:val="0"/>
          <w:color w:val="000000"/>
          <w:highlight w:val="white"/>
          <w:u w:val="none"/>
          <w:vertAlign w:val="baseline"/>
          <w:rtl w:val="0"/>
        </w:rPr>
        <w:t xml:space="preserve">Return Conditions for Refuse Trucks and Equipment</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DPS Order Schedule 35 - </w:t>
      </w:r>
      <w:r w:rsidDel="00000000" w:rsidR="00000000" w:rsidRPr="00000000">
        <w:rPr>
          <w:i w:val="0"/>
          <w:smallCaps w:val="0"/>
          <w:strike w:val="0"/>
          <w:color w:val="000000"/>
          <w:highlight w:val="white"/>
          <w:u w:val="none"/>
          <w:vertAlign w:val="baseline"/>
          <w:rtl w:val="0"/>
        </w:rPr>
        <w:t xml:space="preserve">Return Conditions for Communications Equipment</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DPS Order Schedule 36 - </w:t>
      </w:r>
      <w:r w:rsidDel="00000000" w:rsidR="00000000" w:rsidRPr="00000000">
        <w:rPr>
          <w:i w:val="0"/>
          <w:smallCaps w:val="0"/>
          <w:strike w:val="0"/>
          <w:color w:val="000000"/>
          <w:highlight w:val="white"/>
          <w:u w:val="none"/>
          <w:vertAlign w:val="baseline"/>
          <w:rtl w:val="0"/>
        </w:rPr>
        <w:t xml:space="preserve">Return Conditions for Audio Visual Equipment</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DPS Order Schedule 37 - </w:t>
      </w:r>
      <w:r w:rsidDel="00000000" w:rsidR="00000000" w:rsidRPr="00000000">
        <w:rPr>
          <w:i w:val="0"/>
          <w:smallCaps w:val="0"/>
          <w:strike w:val="0"/>
          <w:color w:val="000000"/>
          <w:highlight w:val="white"/>
          <w:u w:val="none"/>
          <w:vertAlign w:val="baseline"/>
          <w:rtl w:val="0"/>
        </w:rPr>
        <w:t xml:space="preserve">Return Conditions for ICT and Technology</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DPS Order Schedule 38 - </w:t>
      </w:r>
      <w:r w:rsidDel="00000000" w:rsidR="00000000" w:rsidRPr="00000000">
        <w:rPr>
          <w:i w:val="0"/>
          <w:smallCaps w:val="0"/>
          <w:strike w:val="0"/>
          <w:color w:val="000000"/>
          <w:highlight w:val="white"/>
          <w:u w:val="none"/>
          <w:vertAlign w:val="baseline"/>
          <w:rtl w:val="0"/>
        </w:rPr>
        <w:t xml:space="preserve">Return Conditions for Office Furniture and Equipment</w:t>
      </w: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DPS Order Schedule 39 - </w:t>
      </w:r>
      <w:r w:rsidDel="00000000" w:rsidR="00000000" w:rsidRPr="00000000">
        <w:rPr>
          <w:i w:val="0"/>
          <w:smallCaps w:val="0"/>
          <w:strike w:val="0"/>
          <w:color w:val="000000"/>
          <w:highlight w:val="white"/>
          <w:u w:val="none"/>
          <w:vertAlign w:val="baseline"/>
          <w:rtl w:val="0"/>
        </w:rPr>
        <w:t xml:space="preserve">Return Conditions for Medical Equipment</w:t>
      </w: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DPS Order Schedule 40 - </w:t>
      </w:r>
      <w:r w:rsidDel="00000000" w:rsidR="00000000" w:rsidRPr="00000000">
        <w:rPr>
          <w:i w:val="0"/>
          <w:smallCaps w:val="0"/>
          <w:strike w:val="0"/>
          <w:color w:val="000000"/>
          <w:highlight w:val="white"/>
          <w:u w:val="none"/>
          <w:vertAlign w:val="baseline"/>
          <w:rtl w:val="0"/>
        </w:rPr>
        <w:t xml:space="preserve">Return Conditions for Fitness Equipment</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0" w:line="240" w:lineRule="auto"/>
        <w:ind w:left="144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Other - terms will be subject to engagement between the Buyer, the Supplier and/or Leasing Advisor at call-off. Return Conditions can be specified as special terms in the Equipment Order Form.</w:t>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20" w:right="0" w:hanging="370"/>
        <w:jc w:val="both"/>
        <w:rPr>
          <w:sz w:val="26"/>
          <w:szCs w:val="26"/>
        </w:rPr>
      </w:pPr>
      <w:r w:rsidDel="00000000" w:rsidR="00000000" w:rsidRPr="00000000">
        <w:rPr>
          <w:i w:val="0"/>
          <w:smallCaps w:val="0"/>
          <w:strike w:val="0"/>
          <w:color w:val="000000"/>
          <w:u w:val="none"/>
          <w:shd w:fill="auto" w:val="clear"/>
          <w:vertAlign w:val="baseline"/>
          <w:rtl w:val="0"/>
        </w:rPr>
        <w:t xml:space="preserve">2.3.4. Filter Category four: Engagement Size</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8" w:before="0" w:line="240" w:lineRule="auto"/>
        <w:ind w:left="720" w:right="0" w:firstLine="0"/>
        <w:jc w:val="left"/>
        <w:rPr>
          <w:i w:val="0"/>
          <w:smallCaps w:val="0"/>
          <w:strike w:val="0"/>
          <w:color w:val="000000"/>
          <w:sz w:val="26"/>
          <w:szCs w:val="26"/>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The engagement size is the value of the funding requested by the Buyer. The Supplier must provide funding for one or more of the engagement sizes listed:</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24" w:right="0" w:firstLine="0"/>
        <w:jc w:val="left"/>
        <w:rPr>
          <w:i w:val="0"/>
          <w:smallCaps w:val="0"/>
          <w:strike w:val="0"/>
          <w:color w:val="000000"/>
          <w:sz w:val="26"/>
          <w:szCs w:val="26"/>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£2,000 - £10,000</w:t>
      </w:r>
    </w:p>
    <w:p w:rsidR="00000000" w:rsidDel="00000000" w:rsidP="00000000" w:rsidRDefault="00000000" w:rsidRPr="00000000" w14:paraId="000000B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£10,001 - £25,000</w:t>
      </w:r>
    </w:p>
    <w:p w:rsidR="00000000" w:rsidDel="00000000" w:rsidP="00000000" w:rsidRDefault="00000000" w:rsidRPr="00000000" w14:paraId="000000B5">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222222"/>
          <w:highlight w:val="white"/>
          <w:u w:val="none"/>
          <w:vertAlign w:val="baseline"/>
          <w:rtl w:val="0"/>
        </w:rPr>
        <w:t xml:space="preserve">£25,001 - £50,000</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£50,001 - £100,000</w:t>
      </w:r>
    </w:p>
    <w:p w:rsidR="00000000" w:rsidDel="00000000" w:rsidP="00000000" w:rsidRDefault="00000000" w:rsidRPr="00000000" w14:paraId="000000B7">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£100,001 - £500,000</w:t>
      </w:r>
    </w:p>
    <w:p w:rsidR="00000000" w:rsidDel="00000000" w:rsidP="00000000" w:rsidRDefault="00000000" w:rsidRPr="00000000" w14:paraId="000000B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£500,001 - £1,000,000</w:t>
      </w:r>
    </w:p>
    <w:p w:rsidR="00000000" w:rsidDel="00000000" w:rsidP="00000000" w:rsidRDefault="00000000" w:rsidRPr="00000000" w14:paraId="000000B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£1m - £2m</w:t>
      </w:r>
    </w:p>
    <w:p w:rsidR="00000000" w:rsidDel="00000000" w:rsidP="00000000" w:rsidRDefault="00000000" w:rsidRPr="00000000" w14:paraId="000000B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£2m - £5m</w:t>
      </w:r>
    </w:p>
    <w:p w:rsidR="00000000" w:rsidDel="00000000" w:rsidP="00000000" w:rsidRDefault="00000000" w:rsidRPr="00000000" w14:paraId="000000BB">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i w:val="0"/>
          <w:smallCaps w:val="0"/>
          <w:strike w:val="0"/>
          <w:color w:val="000000"/>
          <w:u w:val="none"/>
          <w:shd w:fill="auto" w:val="clear"/>
          <w:vertAlign w:val="baseline"/>
          <w:rtl w:val="0"/>
        </w:rPr>
        <w:t xml:space="preserve">£5m+</w:t>
      </w:r>
    </w:p>
    <w:p w:rsidR="00000000" w:rsidDel="00000000" w:rsidP="00000000" w:rsidRDefault="00000000" w:rsidRPr="00000000" w14:paraId="000000BC">
      <w:pPr>
        <w:spacing w:after="240" w:lineRule="auto"/>
        <w:rPr>
          <w:sz w:val="26"/>
          <w:szCs w:val="26"/>
        </w:rPr>
      </w:pPr>
      <w:r w:rsidDel="00000000" w:rsidR="00000000" w:rsidRPr="00000000">
        <w:rPr>
          <w:rtl w:val="0"/>
        </w:rPr>
      </w:r>
    </w:p>
    <w:p w:rsidR="00000000" w:rsidDel="00000000" w:rsidP="00000000" w:rsidRDefault="00000000" w:rsidRPr="00000000" w14:paraId="000000BD">
      <w:pPr>
        <w:pStyle w:val="Heading2"/>
        <w:spacing w:after="0" w:line="240" w:lineRule="auto"/>
        <w:ind w:left="420" w:hanging="5"/>
        <w:rPr>
          <w:vertAlign w:val="baseline"/>
        </w:rPr>
      </w:pPr>
      <w:bookmarkStart w:colFirst="0" w:colLast="0" w:name="_heading=h.bl7j6622armu" w:id="12"/>
      <w:bookmarkEnd w:id="12"/>
      <w:r w:rsidDel="00000000" w:rsidR="00000000" w:rsidRPr="00000000">
        <w:rPr>
          <w:vertAlign w:val="baseline"/>
          <w:rtl w:val="0"/>
        </w:rPr>
        <w:t xml:space="preserve">2.4. Award Procedure</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05" w:right="0" w:hanging="15"/>
        <w:jc w:val="left"/>
        <w:rPr>
          <w:sz w:val="26"/>
          <w:szCs w:val="26"/>
        </w:rPr>
      </w:pPr>
      <w:r w:rsidDel="00000000" w:rsidR="00000000" w:rsidRPr="00000000">
        <w:rPr>
          <w:i w:val="0"/>
          <w:smallCaps w:val="0"/>
          <w:strike w:val="0"/>
          <w:color w:val="000000"/>
          <w:u w:val="none"/>
          <w:shd w:fill="auto" w:val="clear"/>
          <w:vertAlign w:val="baseline"/>
          <w:rtl w:val="0"/>
        </w:rPr>
        <w:t xml:space="preserve">2.4.1. Further Competition will be the only award procedure for this DPS. </w:t>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09" w:right="0" w:hanging="10.999999999999943"/>
        <w:jc w:val="left"/>
        <w:rPr>
          <w:sz w:val="26"/>
          <w:szCs w:val="26"/>
        </w:rPr>
      </w:pPr>
      <w:r w:rsidDel="00000000" w:rsidR="00000000" w:rsidRPr="00000000">
        <w:rPr>
          <w:i w:val="0"/>
          <w:smallCaps w:val="0"/>
          <w:strike w:val="0"/>
          <w:color w:val="000000"/>
          <w:u w:val="none"/>
          <w:shd w:fill="auto" w:val="clear"/>
          <w:vertAlign w:val="baseline"/>
          <w:rtl w:val="0"/>
        </w:rPr>
        <w:t xml:space="preserve">2.4.2. A list of suitable Suppliers will be produced by the DPS depending on the filter options selected by the Buyer or Leasing Advisor. Listed Suppliers will be invited to Further </w:t>
      </w:r>
      <w:r w:rsidDel="00000000" w:rsidR="00000000" w:rsidRPr="00000000">
        <w:rPr>
          <w:i w:val="0"/>
          <w:smallCaps w:val="0"/>
          <w:strike w:val="0"/>
          <w:color w:val="000000"/>
          <w:u w:val="none"/>
          <w:shd w:fill="auto" w:val="clear"/>
          <w:vertAlign w:val="baseline"/>
          <w:rtl w:val="0"/>
        </w:rPr>
        <w:t xml:space="preserve">Competition</w:t>
      </w:r>
      <w:r w:rsidDel="00000000" w:rsidR="00000000" w:rsidRPr="00000000">
        <w:rPr>
          <w:i w:val="0"/>
          <w:smallCaps w:val="0"/>
          <w:strike w:val="0"/>
          <w:color w:val="00000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09" w:right="0" w:hanging="10.999999999999943"/>
        <w:jc w:val="left"/>
        <w:rPr>
          <w:sz w:val="26"/>
          <w:szCs w:val="26"/>
        </w:rPr>
      </w:pPr>
      <w:r w:rsidDel="00000000" w:rsidR="00000000" w:rsidRPr="00000000">
        <w:rPr>
          <w:i w:val="0"/>
          <w:smallCaps w:val="0"/>
          <w:strike w:val="0"/>
          <w:color w:val="000000"/>
          <w:u w:val="none"/>
          <w:shd w:fill="auto" w:val="clear"/>
          <w:vertAlign w:val="baseline"/>
          <w:rtl w:val="0"/>
        </w:rPr>
        <w:t xml:space="preserve">2.4.3. Suppliers will only be listed for an invitation to Further Competition if they have chosen to provide the filter options which have been selected by the Buyer or Leasing Advisor.</w:t>
      </w: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09" w:right="0" w:hanging="10.999999999999943"/>
        <w:jc w:val="left"/>
        <w:rPr>
          <w:i w:val="0"/>
          <w:smallCaps w:val="0"/>
          <w:strike w:val="0"/>
          <w:color w:val="000000"/>
          <w:sz w:val="26"/>
          <w:szCs w:val="26"/>
          <w:u w:val="none"/>
          <w:shd w:fill="auto" w:val="clear"/>
          <w:vertAlign w:val="baseline"/>
        </w:rPr>
      </w:pPr>
      <w:bookmarkStart w:colFirst="0" w:colLast="0" w:name="_heading=h.3rdcrjn" w:id="13"/>
      <w:bookmarkEnd w:id="13"/>
      <w:r w:rsidDel="00000000" w:rsidR="00000000" w:rsidRPr="00000000">
        <w:rPr>
          <w:i w:val="0"/>
          <w:smallCaps w:val="0"/>
          <w:strike w:val="0"/>
          <w:color w:val="000000"/>
          <w:u w:val="none"/>
          <w:shd w:fill="auto" w:val="clear"/>
          <w:vertAlign w:val="baseline"/>
          <w:rtl w:val="0"/>
        </w:rPr>
        <w:t xml:space="preserve">2.4.4. The DPS will direct the Buyer or Leasing Advisor to the applicable schedules for their selection of Funding Type and Asset Class. These schedules will supplement the Public Sector Contract (PSC) for their call-off contract.</w:t>
      </w:r>
      <w:r w:rsidDel="00000000" w:rsidR="00000000" w:rsidRPr="00000000">
        <w:rPr>
          <w:rtl w:val="0"/>
        </w:rPr>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br w:type="page"/>
      </w:r>
      <w:r w:rsidDel="00000000" w:rsidR="00000000" w:rsidRPr="00000000">
        <w:rPr>
          <w:rtl w:val="0"/>
        </w:rPr>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b w:val="1"/>
        </w:rPr>
      </w:pPr>
      <w:bookmarkStart w:colFirst="0" w:colLast="0" w:name="_heading=h.26in1rg" w:id="14"/>
      <w:bookmarkEnd w:id="14"/>
      <w:r w:rsidDel="00000000" w:rsidR="00000000" w:rsidRPr="00000000">
        <w:rPr>
          <w:b w:val="1"/>
          <w:rtl w:val="0"/>
        </w:rPr>
        <w:t xml:space="preserve">ANNEX A – Glossary</w:t>
      </w:r>
    </w:p>
    <w:tbl>
      <w:tblPr>
        <w:tblStyle w:val="Table2"/>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89"/>
        <w:gridCol w:w="6661"/>
        <w:tblGridChange w:id="0">
          <w:tblGrid>
            <w:gridCol w:w="2689"/>
            <w:gridCol w:w="6661"/>
          </w:tblGrid>
        </w:tblGridChange>
      </w:tblGrid>
      <w:tr>
        <w:trPr>
          <w:cantSplit w:val="0"/>
          <w:tblHeader w:val="0"/>
        </w:trPr>
        <w:tc>
          <w:tcPr/>
          <w:p w:rsidR="00000000" w:rsidDel="00000000" w:rsidP="00000000" w:rsidRDefault="00000000" w:rsidRPr="00000000" w14:paraId="000000C6">
            <w:pPr>
              <w:rPr>
                <w:b w:val="1"/>
              </w:rPr>
            </w:pPr>
            <w:r w:rsidDel="00000000" w:rsidR="00000000" w:rsidRPr="00000000">
              <w:rPr>
                <w:b w:val="1"/>
                <w:rtl w:val="0"/>
              </w:rPr>
              <w:t xml:space="preserve">Term</w:t>
            </w:r>
          </w:p>
        </w:tc>
        <w:tc>
          <w:tcPr/>
          <w:p w:rsidR="00000000" w:rsidDel="00000000" w:rsidP="00000000" w:rsidRDefault="00000000" w:rsidRPr="00000000" w14:paraId="000000C7">
            <w:pPr>
              <w:rPr>
                <w:b w:val="1"/>
              </w:rPr>
            </w:pPr>
            <w:r w:rsidDel="00000000" w:rsidR="00000000" w:rsidRPr="00000000">
              <w:rPr>
                <w:b w:val="1"/>
                <w:rtl w:val="0"/>
              </w:rPr>
              <w:t xml:space="preserve">Definition</w:t>
            </w:r>
          </w:p>
        </w:tc>
      </w:tr>
      <w:tr>
        <w:trPr>
          <w:cantSplit w:val="0"/>
          <w:tblHeader w:val="0"/>
        </w:trPr>
        <w:tc>
          <w:tcPr/>
          <w:p w:rsidR="00000000" w:rsidDel="00000000" w:rsidP="00000000" w:rsidRDefault="00000000" w:rsidRPr="00000000" w14:paraId="000000C8">
            <w:pPr>
              <w:rPr/>
            </w:pPr>
            <w:r w:rsidDel="00000000" w:rsidR="00000000" w:rsidRPr="00000000">
              <w:rPr>
                <w:rtl w:val="0"/>
              </w:rPr>
              <w:t xml:space="preserve">Leasing Advisor</w:t>
            </w:r>
          </w:p>
        </w:tc>
        <w:tc>
          <w:tcPr/>
          <w:p w:rsidR="00000000" w:rsidDel="00000000" w:rsidP="00000000" w:rsidRDefault="00000000" w:rsidRPr="00000000" w14:paraId="000000C9">
            <w:pPr>
              <w:rPr/>
            </w:pPr>
            <w:r w:rsidDel="00000000" w:rsidR="00000000" w:rsidRPr="00000000">
              <w:rPr>
                <w:rtl w:val="0"/>
              </w:rPr>
              <w:t xml:space="preserve">A Leasing Advisor who has been appointed on behalf of a Public Sector Buyer through a call-off contract on CCS framework RM6146 Leasing Advisory Services.</w:t>
            </w:r>
          </w:p>
        </w:tc>
      </w:tr>
      <w:tr>
        <w:trPr>
          <w:cantSplit w:val="0"/>
          <w:tblHeader w:val="0"/>
        </w:trPr>
        <w:tc>
          <w:tcPr/>
          <w:p w:rsidR="00000000" w:rsidDel="00000000" w:rsidP="00000000" w:rsidRDefault="00000000" w:rsidRPr="00000000" w14:paraId="000000CA">
            <w:pPr>
              <w:rPr/>
            </w:pPr>
            <w:r w:rsidDel="00000000" w:rsidR="00000000" w:rsidRPr="00000000">
              <w:rPr>
                <w:rtl w:val="0"/>
              </w:rPr>
            </w:r>
          </w:p>
        </w:tc>
        <w:tc>
          <w:tcPr/>
          <w:p w:rsidR="00000000" w:rsidDel="00000000" w:rsidP="00000000" w:rsidRDefault="00000000" w:rsidRPr="00000000" w14:paraId="000000CB">
            <w:pPr>
              <w:rPr/>
            </w:pPr>
            <w:r w:rsidDel="00000000" w:rsidR="00000000" w:rsidRPr="00000000">
              <w:rPr>
                <w:rtl w:val="0"/>
              </w:rPr>
            </w:r>
          </w:p>
        </w:tc>
      </w:tr>
      <w:tr>
        <w:trPr>
          <w:cantSplit w:val="0"/>
          <w:tblHeader w:val="0"/>
        </w:trPr>
        <w:tc>
          <w:tcPr/>
          <w:p w:rsidR="00000000" w:rsidDel="00000000" w:rsidP="00000000" w:rsidRDefault="00000000" w:rsidRPr="00000000" w14:paraId="000000CC">
            <w:pPr>
              <w:rPr/>
            </w:pPr>
            <w:r w:rsidDel="00000000" w:rsidR="00000000" w:rsidRPr="00000000">
              <w:rPr>
                <w:rtl w:val="0"/>
              </w:rPr>
            </w:r>
          </w:p>
        </w:tc>
        <w:tc>
          <w:tcPr/>
          <w:p w:rsidR="00000000" w:rsidDel="00000000" w:rsidP="00000000" w:rsidRDefault="00000000" w:rsidRPr="00000000" w14:paraId="000000CD">
            <w:pPr>
              <w:rPr/>
            </w:pPr>
            <w:r w:rsidDel="00000000" w:rsidR="00000000" w:rsidRPr="00000000">
              <w:rPr>
                <w:rtl w:val="0"/>
              </w:rPr>
            </w:r>
          </w:p>
        </w:tc>
      </w:tr>
      <w:tr>
        <w:trPr>
          <w:cantSplit w:val="0"/>
          <w:tblHeader w:val="0"/>
        </w:trPr>
        <w:tc>
          <w:tcPr/>
          <w:p w:rsidR="00000000" w:rsidDel="00000000" w:rsidP="00000000" w:rsidRDefault="00000000" w:rsidRPr="00000000" w14:paraId="000000CE">
            <w:pPr>
              <w:rPr/>
            </w:pPr>
            <w:r w:rsidDel="00000000" w:rsidR="00000000" w:rsidRPr="00000000">
              <w:rPr>
                <w:rtl w:val="0"/>
              </w:rPr>
            </w:r>
          </w:p>
        </w:tc>
        <w:tc>
          <w:tcPr/>
          <w:p w:rsidR="00000000" w:rsidDel="00000000" w:rsidP="00000000" w:rsidRDefault="00000000" w:rsidRPr="00000000" w14:paraId="000000CF">
            <w:pPr>
              <w:rPr/>
            </w:pPr>
            <w:r w:rsidDel="00000000" w:rsidR="00000000" w:rsidRPr="00000000">
              <w:rPr>
                <w:rtl w:val="0"/>
              </w:rPr>
            </w:r>
          </w:p>
        </w:tc>
      </w:tr>
      <w:tr>
        <w:trPr>
          <w:cantSplit w:val="0"/>
          <w:tblHeader w:val="0"/>
        </w:trPr>
        <w:tc>
          <w:tcPr/>
          <w:p w:rsidR="00000000" w:rsidDel="00000000" w:rsidP="00000000" w:rsidRDefault="00000000" w:rsidRPr="00000000" w14:paraId="000000D0">
            <w:pPr>
              <w:rPr/>
            </w:pPr>
            <w:r w:rsidDel="00000000" w:rsidR="00000000" w:rsidRPr="00000000">
              <w:rPr>
                <w:rtl w:val="0"/>
              </w:rPr>
            </w:r>
          </w:p>
        </w:tc>
        <w:tc>
          <w:tcPr/>
          <w:p w:rsidR="00000000" w:rsidDel="00000000" w:rsidP="00000000" w:rsidRDefault="00000000" w:rsidRPr="00000000" w14:paraId="000000D1">
            <w:pPr>
              <w:rPr/>
            </w:pPr>
            <w:r w:rsidDel="00000000" w:rsidR="00000000" w:rsidRPr="00000000">
              <w:rPr>
                <w:rtl w:val="0"/>
              </w:rPr>
            </w:r>
          </w:p>
        </w:tc>
      </w:tr>
    </w:tbl>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r>
    </w:p>
    <w:sectPr>
      <w:headerReference r:id="rId11" w:type="default"/>
      <w:footerReference r:id="rId12" w:type="default"/>
      <w:pgSz w:h="15840" w:w="12240"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 w:name="Cambr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sz w:val="18"/>
        <w:szCs w:val="18"/>
      </w:rPr>
    </w:pPr>
    <w:r w:rsidDel="00000000" w:rsidR="00000000" w:rsidRPr="00000000">
      <w:rPr>
        <w:color w:val="000000"/>
        <w:sz w:val="18"/>
        <w:szCs w:val="1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sz w:val="12"/>
        <w:szCs w:val="12"/>
      </w:rPr>
    </w:pPr>
    <w:r w:rsidDel="00000000" w:rsidR="00000000" w:rsidRPr="00000000">
      <w:rPr>
        <w:sz w:val="16"/>
        <w:szCs w:val="16"/>
        <w:rtl w:val="0"/>
      </w:rPr>
      <w:t xml:space="preserve">RM6120 Leasing and Loans Finance</w:t>
    </w:r>
    <w:r w:rsidDel="00000000" w:rsidR="00000000" w:rsidRPr="00000000">
      <w:rPr>
        <w:color w:val="000000"/>
        <w:sz w:val="12"/>
        <w:szCs w:val="12"/>
        <w:rtl w:val="0"/>
      </w:rPr>
      <w:t xml:space="preserve"> </w:t>
    </w:r>
    <w:r w:rsidDel="00000000" w:rsidR="00000000" w:rsidRPr="00000000">
      <w:rPr>
        <w:color w:val="000000"/>
        <w:sz w:val="16"/>
        <w:szCs w:val="16"/>
        <w:rtl w:val="0"/>
      </w:rPr>
      <w:t xml:space="preserve">DPS</w:t>
    </w:r>
    <w:r w:rsidDel="00000000" w:rsidR="00000000" w:rsidRPr="00000000">
      <w:rPr>
        <w:color w:val="000000"/>
        <w:sz w:val="12"/>
        <w:szCs w:val="12"/>
        <w:rtl w:val="0"/>
      </w:rPr>
      <w:t xml:space="preserv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sz w:val="16"/>
        <w:szCs w:val="16"/>
      </w:rPr>
    </w:pPr>
    <w:r w:rsidDel="00000000" w:rsidR="00000000" w:rsidRPr="00000000">
      <w:rPr>
        <w:color w:val="000000"/>
        <w:sz w:val="16"/>
        <w:szCs w:val="16"/>
        <w:rtl w:val="0"/>
      </w:rPr>
      <w:t xml:space="preserve">Bid Pack – </w:t>
    </w:r>
    <w:r w:rsidDel="00000000" w:rsidR="00000000" w:rsidRPr="00000000">
      <w:rPr>
        <w:sz w:val="16"/>
        <w:szCs w:val="16"/>
        <w:rtl w:val="0"/>
      </w:rPr>
      <w:t xml:space="preserve">Buyer</w:t>
    </w:r>
    <w:r w:rsidDel="00000000" w:rsidR="00000000" w:rsidRPr="00000000">
      <w:rPr>
        <w:color w:val="000000"/>
        <w:sz w:val="16"/>
        <w:szCs w:val="16"/>
        <w:rtl w:val="0"/>
      </w:rPr>
      <w:t xml:space="preserve"> Needs</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pos="4513"/>
        <w:tab w:val="right" w:pos="9026"/>
      </w:tabs>
      <w:spacing w:after="0" w:line="240" w:lineRule="auto"/>
      <w:rPr>
        <w:sz w:val="16"/>
        <w:szCs w:val="16"/>
      </w:rPr>
    </w:pPr>
    <w:r w:rsidDel="00000000" w:rsidR="00000000" w:rsidRPr="00000000">
      <w:rPr>
        <w:sz w:val="16"/>
        <w:szCs w:val="16"/>
        <w:rtl w:val="0"/>
      </w:rPr>
      <w:t xml:space="preserve">v1.0</w:t>
    </w:r>
  </w:p>
  <w:p w:rsidR="00000000" w:rsidDel="00000000" w:rsidP="00000000" w:rsidRDefault="00000000" w:rsidRPr="00000000" w14:paraId="000000DB">
    <w:pPr>
      <w:tabs>
        <w:tab w:val="center" w:pos="4513"/>
        <w:tab w:val="right" w:pos="9026"/>
      </w:tabs>
      <w:spacing w:after="0" w:line="240" w:lineRule="auto"/>
      <w:rPr>
        <w:rFonts w:ascii="Calibri" w:cs="Calibri" w:eastAsia="Calibri" w:hAnsi="Calibri"/>
        <w:sz w:val="16"/>
        <w:szCs w:val="16"/>
      </w:rPr>
    </w:pPr>
    <w:r w:rsidDel="00000000" w:rsidR="00000000" w:rsidRPr="00000000">
      <w:rPr>
        <w:sz w:val="16"/>
        <w:szCs w:val="16"/>
        <w:rtl w:val="0"/>
      </w:rPr>
      <w:t xml:space="preserve">© Crown Copyright 2021</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pos="4513"/>
        <w:tab w:val="right" w:pos="9026"/>
      </w:tabs>
      <w:spacing w:after="0" w:line="240" w:lineRule="auto"/>
      <w:rPr>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6840"/>
      </w:tabs>
      <w:spacing w:after="0" w:line="240" w:lineRule="auto"/>
      <w:rPr>
        <w:color w:val="000000"/>
        <w:sz w:val="16"/>
        <w:szCs w:val="16"/>
      </w:rPr>
    </w:pPr>
    <w:r w:rsidDel="00000000" w:rsidR="00000000" w:rsidRPr="00000000">
      <w:rPr>
        <w:color w:val="000000"/>
        <w:sz w:val="16"/>
        <w:szCs w:val="16"/>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6">
    <w:lvl w:ilvl="0">
      <w:start w:val="1"/>
      <w:numFmt w:val="bullet"/>
      <w:lvlText w:val="●"/>
      <w:lvlJc w:val="left"/>
      <w:pPr>
        <w:ind w:left="1418" w:hanging="360"/>
      </w:pPr>
      <w:rPr>
        <w:rFonts w:ascii="Noto Sans Symbols" w:cs="Noto Sans Symbols" w:eastAsia="Noto Sans Symbols" w:hAnsi="Noto Sans Symbols"/>
      </w:rPr>
    </w:lvl>
    <w:lvl w:ilvl="1">
      <w:start w:val="1"/>
      <w:numFmt w:val="bullet"/>
      <w:lvlText w:val="o"/>
      <w:lvlJc w:val="left"/>
      <w:pPr>
        <w:ind w:left="2138" w:hanging="360"/>
      </w:pPr>
      <w:rPr>
        <w:rFonts w:ascii="Courier New" w:cs="Courier New" w:eastAsia="Courier New" w:hAnsi="Courier New"/>
      </w:rPr>
    </w:lvl>
    <w:lvl w:ilvl="2">
      <w:start w:val="1"/>
      <w:numFmt w:val="bullet"/>
      <w:lvlText w:val="▪"/>
      <w:lvlJc w:val="left"/>
      <w:pPr>
        <w:ind w:left="2858" w:hanging="360"/>
      </w:pPr>
      <w:rPr>
        <w:rFonts w:ascii="Noto Sans Symbols" w:cs="Noto Sans Symbols" w:eastAsia="Noto Sans Symbols" w:hAnsi="Noto Sans Symbols"/>
      </w:rPr>
    </w:lvl>
    <w:lvl w:ilvl="3">
      <w:start w:val="1"/>
      <w:numFmt w:val="bullet"/>
      <w:lvlText w:val="●"/>
      <w:lvlJc w:val="left"/>
      <w:pPr>
        <w:ind w:left="3578" w:hanging="360"/>
      </w:pPr>
      <w:rPr>
        <w:rFonts w:ascii="Noto Sans Symbols" w:cs="Noto Sans Symbols" w:eastAsia="Noto Sans Symbols" w:hAnsi="Noto Sans Symbols"/>
      </w:rPr>
    </w:lvl>
    <w:lvl w:ilvl="4">
      <w:start w:val="1"/>
      <w:numFmt w:val="bullet"/>
      <w:lvlText w:val="o"/>
      <w:lvlJc w:val="left"/>
      <w:pPr>
        <w:ind w:left="4298" w:hanging="360"/>
      </w:pPr>
      <w:rPr>
        <w:rFonts w:ascii="Courier New" w:cs="Courier New" w:eastAsia="Courier New" w:hAnsi="Courier New"/>
      </w:rPr>
    </w:lvl>
    <w:lvl w:ilvl="5">
      <w:start w:val="1"/>
      <w:numFmt w:val="bullet"/>
      <w:lvlText w:val="▪"/>
      <w:lvlJc w:val="left"/>
      <w:pPr>
        <w:ind w:left="5018" w:hanging="360"/>
      </w:pPr>
      <w:rPr>
        <w:rFonts w:ascii="Noto Sans Symbols" w:cs="Noto Sans Symbols" w:eastAsia="Noto Sans Symbols" w:hAnsi="Noto Sans Symbols"/>
      </w:rPr>
    </w:lvl>
    <w:lvl w:ilvl="6">
      <w:start w:val="1"/>
      <w:numFmt w:val="bullet"/>
      <w:lvlText w:val="●"/>
      <w:lvlJc w:val="left"/>
      <w:pPr>
        <w:ind w:left="5738" w:hanging="360"/>
      </w:pPr>
      <w:rPr>
        <w:rFonts w:ascii="Noto Sans Symbols" w:cs="Noto Sans Symbols" w:eastAsia="Noto Sans Symbols" w:hAnsi="Noto Sans Symbols"/>
      </w:rPr>
    </w:lvl>
    <w:lvl w:ilvl="7">
      <w:start w:val="1"/>
      <w:numFmt w:val="bullet"/>
      <w:lvlText w:val="o"/>
      <w:lvlJc w:val="left"/>
      <w:pPr>
        <w:ind w:left="6458" w:hanging="360"/>
      </w:pPr>
      <w:rPr>
        <w:rFonts w:ascii="Courier New" w:cs="Courier New" w:eastAsia="Courier New" w:hAnsi="Courier New"/>
      </w:rPr>
    </w:lvl>
    <w:lvl w:ilvl="8">
      <w:start w:val="1"/>
      <w:numFmt w:val="bullet"/>
      <w:lvlText w:val="▪"/>
      <w:lvlJc w:val="left"/>
      <w:pPr>
        <w:ind w:left="7178"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color w:val="0070c0"/>
      <w:sz w:val="28"/>
      <w:szCs w:val="28"/>
    </w:rPr>
  </w:style>
  <w:style w:type="paragraph" w:styleId="Heading2">
    <w:name w:val="heading 2"/>
    <w:basedOn w:val="Normal"/>
    <w:next w:val="Normal"/>
    <w:pPr>
      <w:ind w:left="851"/>
    </w:pPr>
    <w:rPr>
      <w:b w:val="1"/>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0" w:line="240" w:lineRule="auto"/>
    </w:pPr>
    <w:rPr>
      <w:color w:val="0070c0"/>
      <w:sz w:val="56"/>
      <w:szCs w:val="56"/>
    </w:rPr>
  </w:style>
  <w:style w:type="paragraph" w:styleId="Normal" w:default="1">
    <w:name w:val="Normal"/>
  </w:style>
  <w:style w:type="paragraph" w:styleId="Heading1">
    <w:name w:val="heading 1"/>
    <w:basedOn w:val="Normal"/>
    <w:next w:val="Normal"/>
    <w:pPr>
      <w:keepNext w:val="1"/>
      <w:keepLines w:val="1"/>
      <w:spacing w:after="0" w:before="240"/>
      <w:outlineLvl w:val="0"/>
    </w:pPr>
    <w:rPr>
      <w:color w:val="0070c0"/>
      <w:sz w:val="28"/>
      <w:szCs w:val="28"/>
    </w:rPr>
  </w:style>
  <w:style w:type="paragraph" w:styleId="Heading2">
    <w:name w:val="heading 2"/>
    <w:basedOn w:val="Normal"/>
    <w:next w:val="Normal"/>
    <w:pPr>
      <w:spacing w:before="160"/>
      <w:ind w:left="1709" w:hanging="432"/>
      <w:contextualSpacing w:val="1"/>
      <w:outlineLvl w:val="1"/>
    </w:pPr>
    <w:rPr>
      <w:color w:val="0070c0"/>
    </w:rPr>
  </w:style>
  <w:style w:type="paragraph" w:styleId="Heading3">
    <w:name w:val="heading 3"/>
    <w:basedOn w:val="Normal"/>
    <w:next w:val="Normal"/>
    <w:pPr>
      <w:keepNext w:val="1"/>
      <w:keepLines w:val="1"/>
      <w:spacing w:after="0" w:before="40"/>
      <w:outlineLvl w:val="2"/>
    </w:pPr>
    <w:rPr>
      <w:rFonts w:ascii="Calibri" w:cs="Calibri" w:eastAsia="Calibri" w:hAnsi="Calibri"/>
      <w:color w:val="1e4d78"/>
    </w:rPr>
  </w:style>
  <w:style w:type="paragraph" w:styleId="Heading4">
    <w:name w:val="heading 4"/>
    <w:basedOn w:val="Normal"/>
    <w:next w:val="Normal"/>
    <w:pPr>
      <w:keepNext w:val="1"/>
      <w:keepLines w:val="1"/>
      <w:spacing w:after="40" w:before="240"/>
      <w:outlineLvl w:val="3"/>
    </w:pPr>
    <w:rPr>
      <w:b w:val="1"/>
    </w:rPr>
  </w:style>
  <w:style w:type="paragraph" w:styleId="Heading5">
    <w:name w:val="heading 5"/>
    <w:basedOn w:val="Normal"/>
    <w:next w:val="Normal"/>
    <w:pPr>
      <w:keepNext w:val="1"/>
      <w:keepLines w:val="1"/>
      <w:spacing w:after="40" w:before="220"/>
      <w:outlineLvl w:val="4"/>
    </w:pPr>
    <w:rPr>
      <w:b w:val="1"/>
      <w:sz w:val="22"/>
      <w:szCs w:val="22"/>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spacing w:after="0" w:line="240" w:lineRule="auto"/>
      <w:contextualSpacing w:val="1"/>
    </w:pPr>
    <w:rPr>
      <w:color w:val="0070c0"/>
      <w:sz w:val="56"/>
      <w:szCs w:val="56"/>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5.0" w:type="dxa"/>
        <w:left w:w="15.0" w:type="dxa"/>
        <w:bottom w:w="15.0" w:type="dxa"/>
        <w:right w:w="15.0" w:type="dxa"/>
      </w:tblCellMar>
    </w:tblPr>
  </w:style>
  <w:style w:type="table" w:styleId="a0" w:customStyle="1">
    <w:basedOn w:val="TableNormal"/>
    <w:pPr>
      <w:spacing w:after="0" w:line="240" w:lineRule="auto"/>
    </w:pPr>
    <w:tblPr>
      <w:tblStyleRowBandSize w:val="1"/>
      <w:tblStyleColBandSize w:val="1"/>
    </w:tblPr>
  </w:style>
  <w:style w:type="table" w:styleId="a1" w:customStyle="1">
    <w:basedOn w:val="TableNormal"/>
    <w:pPr>
      <w:spacing w:after="0" w:line="240" w:lineRule="auto"/>
    </w:pPr>
    <w:tblPr>
      <w:tblStyleRowBandSize w:val="1"/>
      <w:tblStyleColBandSize w:val="1"/>
    </w:tblPr>
  </w:style>
  <w:style w:type="table" w:styleId="a2" w:customStyle="1">
    <w:basedOn w:val="TableNormal"/>
    <w:pPr>
      <w:spacing w:after="0" w:line="240" w:lineRule="auto"/>
    </w:pPr>
    <w:tblPr>
      <w:tblStyleRowBandSize w:val="1"/>
      <w:tblStyleColBandSize w:val="1"/>
    </w:tblPr>
  </w:style>
  <w:style w:type="table" w:styleId="a3" w:customStyle="1">
    <w:basedOn w:val="TableNormal"/>
    <w:pPr>
      <w:spacing w:after="0" w:line="240" w:lineRule="auto"/>
    </w:pPr>
    <w:tblPr>
      <w:tblStyleRowBandSize w:val="1"/>
      <w:tblStyleColBandSize w:val="1"/>
    </w:tblPr>
  </w:style>
  <w:style w:type="table" w:styleId="a4" w:customStyle="1">
    <w:basedOn w:val="TableNormal"/>
    <w:pPr>
      <w:spacing w:after="0" w:line="240" w:lineRule="auto"/>
    </w:pPr>
    <w:tblPr>
      <w:tblStyleRowBandSize w:val="1"/>
      <w:tblStyleColBandSize w:val="1"/>
    </w:tblPr>
  </w:style>
  <w:style w:type="table" w:styleId="a5" w:customStyle="1">
    <w:basedOn w:val="TableNormal"/>
    <w:pPr>
      <w:spacing w:after="0" w:line="240" w:lineRule="auto"/>
    </w:pPr>
    <w:tblPr>
      <w:tblStyleRowBandSize w:val="1"/>
      <w:tblStyleColBandSize w:val="1"/>
    </w:tblPr>
  </w:style>
  <w:style w:type="table" w:styleId="a6" w:customStyle="1">
    <w:basedOn w:val="TableNormal"/>
    <w:pPr>
      <w:spacing w:after="0" w:line="240" w:lineRule="auto"/>
    </w:pPr>
    <w:tblPr>
      <w:tblStyleRowBandSize w:val="1"/>
      <w:tblStyleColBandSize w:val="1"/>
    </w:tbl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B130B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B130B0"/>
    <w:rPr>
      <w:rFonts w:ascii="Segoe UI" w:cs="Segoe UI" w:hAnsi="Segoe UI"/>
      <w:sz w:val="18"/>
      <w:szCs w:val="18"/>
    </w:rPr>
  </w:style>
  <w:style w:type="paragraph" w:styleId="Header">
    <w:name w:val="header"/>
    <w:basedOn w:val="Normal"/>
    <w:link w:val="HeaderChar"/>
    <w:uiPriority w:val="99"/>
    <w:unhideWhenUsed w:val="1"/>
    <w:rsid w:val="00DE30D4"/>
    <w:pPr>
      <w:tabs>
        <w:tab w:val="center" w:pos="4513"/>
        <w:tab w:val="right" w:pos="9026"/>
      </w:tabs>
      <w:spacing w:after="0" w:line="240" w:lineRule="auto"/>
    </w:pPr>
  </w:style>
  <w:style w:type="character" w:styleId="HeaderChar" w:customStyle="1">
    <w:name w:val="Header Char"/>
    <w:basedOn w:val="DefaultParagraphFont"/>
    <w:link w:val="Header"/>
    <w:uiPriority w:val="99"/>
    <w:rsid w:val="00DE30D4"/>
  </w:style>
  <w:style w:type="paragraph" w:styleId="Footer">
    <w:name w:val="footer"/>
    <w:basedOn w:val="Normal"/>
    <w:link w:val="FooterChar"/>
    <w:uiPriority w:val="99"/>
    <w:unhideWhenUsed w:val="1"/>
    <w:rsid w:val="00DE30D4"/>
    <w:pPr>
      <w:tabs>
        <w:tab w:val="center" w:pos="4513"/>
        <w:tab w:val="right" w:pos="9026"/>
      </w:tabs>
      <w:spacing w:after="0" w:line="240" w:lineRule="auto"/>
    </w:pPr>
  </w:style>
  <w:style w:type="character" w:styleId="FooterChar" w:customStyle="1">
    <w:name w:val="Footer Char"/>
    <w:basedOn w:val="DefaultParagraphFont"/>
    <w:link w:val="Footer"/>
    <w:uiPriority w:val="99"/>
    <w:rsid w:val="00DE30D4"/>
  </w:style>
  <w:style w:type="paragraph" w:styleId="ListParagraph">
    <w:name w:val="List Paragraph"/>
    <w:basedOn w:val="Normal"/>
    <w:uiPriority w:val="34"/>
    <w:qFormat w:val="1"/>
    <w:rsid w:val="00EE35E3"/>
    <w:pPr>
      <w:ind w:left="720"/>
      <w:contextualSpacing w:val="1"/>
    </w:pPr>
  </w:style>
  <w:style w:type="paragraph" w:styleId="CommentSubject">
    <w:name w:val="annotation subject"/>
    <w:basedOn w:val="CommentText"/>
    <w:next w:val="CommentText"/>
    <w:link w:val="CommentSubjectChar"/>
    <w:uiPriority w:val="99"/>
    <w:semiHidden w:val="1"/>
    <w:unhideWhenUsed w:val="1"/>
    <w:rsid w:val="0072422B"/>
    <w:rPr>
      <w:b w:val="1"/>
      <w:bCs w:val="1"/>
    </w:rPr>
  </w:style>
  <w:style w:type="character" w:styleId="CommentSubjectChar" w:customStyle="1">
    <w:name w:val="Comment Subject Char"/>
    <w:basedOn w:val="CommentTextChar"/>
    <w:link w:val="CommentSubject"/>
    <w:uiPriority w:val="99"/>
    <w:semiHidden w:val="1"/>
    <w:rsid w:val="0072422B"/>
    <w:rPr>
      <w:b w:val="1"/>
      <w:bCs w:val="1"/>
      <w:sz w:val="20"/>
      <w:szCs w:val="20"/>
    </w:rPr>
  </w:style>
  <w:style w:type="table" w:styleId="TableGrid">
    <w:name w:val="Table Grid"/>
    <w:basedOn w:val="TableNormal"/>
    <w:uiPriority w:val="39"/>
    <w:rsid w:val="00DB157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0C0A92"/>
    <w:rPr>
      <w:color w:val="0000ff" w:themeColor="hyperlink"/>
      <w:u w:val="single"/>
    </w:rPr>
  </w:style>
  <w:style w:type="paragraph" w:styleId="TOC1">
    <w:name w:val="toc 1"/>
    <w:basedOn w:val="Normal"/>
    <w:next w:val="Normal"/>
    <w:autoRedefine w:val="1"/>
    <w:uiPriority w:val="39"/>
    <w:unhideWhenUsed w:val="1"/>
    <w:rsid w:val="00575F1F"/>
    <w:pPr>
      <w:spacing w:after="100"/>
    </w:pPr>
  </w:style>
  <w:style w:type="paragraph" w:styleId="TOC2">
    <w:name w:val="toc 2"/>
    <w:basedOn w:val="Normal"/>
    <w:next w:val="Normal"/>
    <w:autoRedefine w:val="1"/>
    <w:uiPriority w:val="39"/>
    <w:unhideWhenUsed w:val="1"/>
    <w:rsid w:val="00A6022E"/>
    <w:pPr>
      <w:tabs>
        <w:tab w:val="left" w:pos="426"/>
        <w:tab w:val="right" w:leader="dot" w:pos="9350"/>
      </w:tabs>
      <w:spacing w:after="100"/>
    </w:pPr>
  </w:style>
  <w:style w:type="character" w:styleId="FollowedHyperlink">
    <w:name w:val="FollowedHyperlink"/>
    <w:basedOn w:val="DefaultParagraphFont"/>
    <w:uiPriority w:val="99"/>
    <w:semiHidden w:val="1"/>
    <w:unhideWhenUsed w:val="1"/>
    <w:rsid w:val="00CB428F"/>
    <w:rPr>
      <w:color w:val="800080" w:themeColor="followedHyperlink"/>
      <w:u w:val="single"/>
    </w:rPr>
  </w:style>
  <w:style w:type="paragraph" w:styleId="Revision">
    <w:name w:val="Revision"/>
    <w:hidden w:val="1"/>
    <w:uiPriority w:val="99"/>
    <w:semiHidden w:val="1"/>
    <w:rsid w:val="00B57CAF"/>
    <w:pPr>
      <w:spacing w:after="0" w:line="240" w:lineRule="auto"/>
    </w:pPr>
  </w:style>
  <w:style w:type="table" w:styleId="a7" w:customSty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a8" w:customSty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a9" w:customSty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aa" w:customSty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ab" w:customSty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ac" w:customStyle="1">
    <w:basedOn w:val="TableNormal"/>
    <w:pPr>
      <w:spacing w:after="0" w:line="240" w:lineRule="auto"/>
    </w:pPr>
    <w:tblPr>
      <w:tblStyleRowBandSize w:val="1"/>
      <w:tblStyleColBandSize w:val="1"/>
      <w:tblCellMar>
        <w:top w:w="15.0" w:type="dxa"/>
        <w:left w:w="15.0" w:type="dxa"/>
        <w:bottom w:w="15.0" w:type="dxa"/>
        <w:right w:w="15.0" w:type="dxa"/>
      </w:tblCellMar>
    </w:tblPr>
  </w:style>
  <w:style w:type="paragraph" w:styleId="NormalWeb">
    <w:name w:val="Normal (Web)"/>
    <w:basedOn w:val="Normal"/>
    <w:uiPriority w:val="99"/>
    <w:unhideWhenUsed w:val="1"/>
    <w:rsid w:val="00354969"/>
    <w:pPr>
      <w:spacing w:after="100" w:afterAutospacing="1" w:before="100" w:beforeAutospacing="1" w:line="240" w:lineRule="auto"/>
    </w:pPr>
    <w:rPr>
      <w:rFonts w:ascii="Times New Roman" w:cs="Times New Roman" w:eastAsia="Times New Roman" w:hAnsi="Times New Roma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Table2">
    <w:basedOn w:val="TableNormal"/>
    <w:pPr>
      <w:spacing w:after="0" w:line="240" w:lineRule="auto"/>
    </w:pPr>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3.png"/><Relationship Id="rId12" Type="http://schemas.openxmlformats.org/officeDocument/2006/relationships/footer" Target="footer1.xml"/><Relationship Id="rId9" Type="http://schemas.openxmlformats.org/officeDocument/2006/relationships/hyperlink" Target="http://www.legislation.gov.uk/uksi/2015/102/contents/made"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0HD83ge4qKFsSRxFJPhfq8cKwuQ==">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</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2021-08-11T08:24:00Z</dcterms:created>
  <dc:creator>Dominique Volante</dc:creator>
</cp:coreProperties>
</file>